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636AF8">
      <w:pPr>
        <w:pStyle w:val="8"/>
        <w:keepNext w:val="0"/>
        <w:keepLines w:val="0"/>
        <w:adjustRightInd w:val="0"/>
        <w:snapToGrid w:val="0"/>
        <w:spacing w:before="0" w:after="120"/>
        <w:rPr>
          <w:rFonts w:hint="eastAsia" w:ascii="黑体" w:hAnsi="黑体" w:eastAsia="黑体" w:cs="Times New Roman"/>
          <w:color w:val="000000"/>
          <w:sz w:val="32"/>
          <w:szCs w:val="32"/>
          <w:lang w:val="en-US" w:eastAsia="zh-CN"/>
        </w:rPr>
      </w:pPr>
      <w:bookmarkStart w:id="0" w:name="_Toc20631"/>
      <w:bookmarkStart w:id="1" w:name="_Toc14358"/>
      <w:bookmarkStart w:id="2" w:name="_Toc26315"/>
      <w:bookmarkStart w:id="3" w:name="_Toc21409"/>
      <w:bookmarkStart w:id="4" w:name="_Toc19915"/>
      <w:bookmarkStart w:id="5" w:name="_Toc5934"/>
      <w:bookmarkStart w:id="6" w:name="_Toc17193"/>
      <w:bookmarkStart w:id="7" w:name="_Toc97560485"/>
      <w:r>
        <w:rPr>
          <w:rFonts w:hint="eastAsia" w:eastAsia="宋体"/>
          <w:sz w:val="30"/>
          <w:szCs w:val="30"/>
          <w:lang w:val="en-US" w:eastAsia="zh-CN"/>
        </w:rPr>
        <w:t>金龙</w:t>
      </w:r>
      <w:r>
        <w:rPr>
          <w:rFonts w:hint="eastAsia" w:eastAsia="宋体"/>
          <w:sz w:val="30"/>
          <w:szCs w:val="30"/>
        </w:rPr>
        <w:t>品牌战略升级及年度</w:t>
      </w:r>
      <w:r>
        <w:rPr>
          <w:rFonts w:hint="eastAsia" w:eastAsia="宋体"/>
          <w:sz w:val="30"/>
          <w:szCs w:val="30"/>
          <w:lang w:val="en-US" w:eastAsia="zh-CN"/>
        </w:rPr>
        <w:t>整合</w:t>
      </w:r>
      <w:r>
        <w:rPr>
          <w:rFonts w:hint="eastAsia" w:eastAsia="宋体"/>
          <w:sz w:val="30"/>
          <w:szCs w:val="30"/>
        </w:rPr>
        <w:t>传播</w:t>
      </w:r>
      <w:r>
        <w:rPr>
          <w:rFonts w:hint="eastAsia" w:eastAsia="宋体"/>
          <w:sz w:val="30"/>
          <w:szCs w:val="30"/>
          <w:lang w:val="en-US" w:eastAsia="zh-CN"/>
        </w:rPr>
        <w:t>策划项目招标</w:t>
      </w:r>
    </w:p>
    <w:p w14:paraId="41846A6E">
      <w:pPr>
        <w:pStyle w:val="8"/>
        <w:keepNext w:val="0"/>
        <w:keepLines w:val="0"/>
        <w:adjustRightInd w:val="0"/>
        <w:snapToGrid w:val="0"/>
        <w:spacing w:before="0" w:after="120"/>
        <w:jc w:val="center"/>
        <w:rPr>
          <w:sz w:val="30"/>
          <w:szCs w:val="30"/>
        </w:rPr>
      </w:pPr>
      <w:r>
        <w:rPr>
          <w:rFonts w:hint="eastAsia"/>
          <w:sz w:val="30"/>
          <w:szCs w:val="30"/>
        </w:rPr>
        <w:t>综合</w:t>
      </w:r>
      <w:bookmarkEnd w:id="0"/>
      <w:bookmarkEnd w:id="1"/>
      <w:bookmarkEnd w:id="2"/>
      <w:bookmarkEnd w:id="3"/>
      <w:bookmarkEnd w:id="4"/>
      <w:bookmarkEnd w:id="5"/>
      <w:bookmarkEnd w:id="6"/>
      <w:bookmarkEnd w:id="7"/>
      <w:r>
        <w:rPr>
          <w:rFonts w:hint="eastAsia"/>
          <w:sz w:val="30"/>
          <w:szCs w:val="30"/>
        </w:rPr>
        <w:t>评审法方案</w:t>
      </w:r>
    </w:p>
    <w:p w14:paraId="0FF3D4A8">
      <w:pPr>
        <w:spacing w:before="156" w:beforeLines="50" w:after="156" w:afterLines="50" w:line="440" w:lineRule="exact"/>
        <w:rPr>
          <w:rFonts w:hint="eastAsia" w:ascii="宋体" w:hAnsi="宋体"/>
          <w:b/>
          <w:sz w:val="28"/>
          <w:szCs w:val="28"/>
        </w:rPr>
      </w:pPr>
      <w:r>
        <w:rPr>
          <w:rFonts w:ascii="宋体" w:hAnsi="宋体"/>
          <w:b/>
          <w:sz w:val="28"/>
          <w:szCs w:val="28"/>
          <w:lang w:val="zh-CN"/>
        </w:rPr>
        <w:t>一、评标方法：综合</w:t>
      </w:r>
      <w:r>
        <w:rPr>
          <w:rFonts w:hint="eastAsia" w:ascii="宋体" w:hAnsi="宋体"/>
          <w:b/>
          <w:sz w:val="28"/>
          <w:szCs w:val="28"/>
          <w:lang w:val="zh-CN"/>
        </w:rPr>
        <w:t>评审</w:t>
      </w:r>
      <w:r>
        <w:rPr>
          <w:rFonts w:ascii="宋体" w:hAnsi="宋体"/>
          <w:b/>
          <w:sz w:val="28"/>
          <w:szCs w:val="28"/>
          <w:lang w:val="zh-CN"/>
        </w:rPr>
        <w:t>法</w:t>
      </w:r>
    </w:p>
    <w:p w14:paraId="1831EA94">
      <w:pPr>
        <w:spacing w:line="360" w:lineRule="auto"/>
        <w:ind w:firstLine="480" w:firstLineChars="200"/>
        <w:rPr>
          <w:rFonts w:hint="eastAsia" w:ascii="宋体" w:hAnsi="宋体"/>
          <w:sz w:val="24"/>
          <w:lang w:val="zh-CN"/>
        </w:rPr>
      </w:pPr>
      <w:r>
        <w:rPr>
          <w:rFonts w:ascii="宋体" w:hAnsi="宋体"/>
          <w:sz w:val="24"/>
          <w:lang w:val="zh-CN"/>
        </w:rPr>
        <w:t>对所有投标人的投标文件评审，都采用相同的程序和标准。</w:t>
      </w:r>
    </w:p>
    <w:p w14:paraId="7B6570FB">
      <w:pPr>
        <w:spacing w:line="360" w:lineRule="auto"/>
        <w:rPr>
          <w:rFonts w:hint="eastAsia" w:ascii="宋体" w:hAnsi="宋体"/>
          <w:sz w:val="24"/>
        </w:rPr>
      </w:pPr>
      <w:r>
        <w:rPr>
          <w:rFonts w:hint="eastAsia" w:ascii="宋体" w:hAnsi="宋体"/>
          <w:sz w:val="24"/>
        </w:rPr>
        <w:t>采购评标小组成员：</w:t>
      </w:r>
    </w:p>
    <w:p w14:paraId="5427B779">
      <w:pPr>
        <w:spacing w:line="360" w:lineRule="auto"/>
        <w:rPr>
          <w:rFonts w:hint="eastAsia" w:ascii="宋体" w:hAnsi="宋体"/>
          <w:b/>
          <w:bCs/>
          <w:color w:val="0000FF"/>
          <w:sz w:val="24"/>
          <w:lang w:val="zh-CN"/>
        </w:rPr>
      </w:pPr>
      <w:r>
        <w:rPr>
          <w:rFonts w:hint="eastAsia" w:ascii="宋体" w:hAnsi="宋体"/>
          <w:sz w:val="24"/>
        </w:rPr>
        <w:t>开标评审人员由系统随机在开标评审人才库随机抽选；评标人员成员一般为5人及以上单数。</w:t>
      </w:r>
    </w:p>
    <w:p w14:paraId="15FA7217">
      <w:pPr>
        <w:numPr>
          <w:ilvl w:val="0"/>
          <w:numId w:val="1"/>
        </w:numPr>
        <w:spacing w:line="360" w:lineRule="auto"/>
        <w:rPr>
          <w:rFonts w:hint="eastAsia" w:ascii="宋体" w:hAnsi="宋体"/>
          <w:sz w:val="24"/>
          <w:lang w:val="zh-CN"/>
        </w:rPr>
      </w:pPr>
      <w:r>
        <w:rPr>
          <w:rFonts w:ascii="宋体" w:hAnsi="宋体"/>
          <w:sz w:val="24"/>
          <w:lang w:val="zh-CN"/>
        </w:rPr>
        <w:t>由</w:t>
      </w:r>
      <w:r>
        <w:rPr>
          <w:rFonts w:hint="eastAsia" w:ascii="宋体" w:hAnsi="宋体"/>
          <w:sz w:val="24"/>
        </w:rPr>
        <w:t>采购评标小组成员</w:t>
      </w:r>
      <w:r>
        <w:rPr>
          <w:rFonts w:ascii="宋体" w:hAnsi="宋体"/>
          <w:sz w:val="24"/>
          <w:lang w:val="zh-CN"/>
        </w:rPr>
        <w:t>根据</w:t>
      </w:r>
      <w:r>
        <w:rPr>
          <w:rFonts w:hint="eastAsia" w:ascii="宋体" w:hAnsi="宋体"/>
          <w:sz w:val="24"/>
          <w:lang w:val="zh-CN"/>
        </w:rPr>
        <w:t>招标文件</w:t>
      </w:r>
      <w:r>
        <w:rPr>
          <w:rFonts w:hint="eastAsia" w:ascii="宋体" w:hAnsi="宋体"/>
          <w:sz w:val="24"/>
        </w:rPr>
        <w:t>资格审核的</w:t>
      </w:r>
      <w:r>
        <w:rPr>
          <w:rFonts w:ascii="宋体" w:hAnsi="宋体"/>
          <w:sz w:val="24"/>
          <w:lang w:val="zh-CN"/>
        </w:rPr>
        <w:t>要求</w:t>
      </w:r>
      <w:r>
        <w:rPr>
          <w:rFonts w:hint="eastAsia" w:ascii="宋体" w:hAnsi="宋体"/>
          <w:sz w:val="24"/>
          <w:lang w:val="zh-CN"/>
        </w:rPr>
        <w:t>（</w:t>
      </w:r>
      <w:r>
        <w:rPr>
          <w:rFonts w:hint="eastAsia" w:ascii="宋体" w:hAnsi="宋体"/>
          <w:sz w:val="24"/>
        </w:rPr>
        <w:t>评审项目、内容、相关佐证材料</w:t>
      </w:r>
      <w:r>
        <w:rPr>
          <w:rFonts w:hint="eastAsia" w:ascii="宋体" w:hAnsi="宋体"/>
          <w:sz w:val="24"/>
          <w:lang w:val="zh-CN"/>
        </w:rPr>
        <w:t>）、</w:t>
      </w:r>
      <w:r>
        <w:rPr>
          <w:rFonts w:hint="eastAsia" w:ascii="宋体" w:hAnsi="宋体"/>
          <w:sz w:val="24"/>
        </w:rPr>
        <w:t>评分标准和计分方法</w:t>
      </w:r>
      <w:r>
        <w:rPr>
          <w:rFonts w:ascii="宋体" w:hAnsi="宋体"/>
          <w:sz w:val="24"/>
          <w:lang w:val="zh-CN"/>
        </w:rPr>
        <w:t>，审核</w:t>
      </w:r>
      <w:r>
        <w:rPr>
          <w:rFonts w:hint="eastAsia" w:ascii="宋体" w:hAnsi="宋体"/>
          <w:sz w:val="24"/>
        </w:rPr>
        <w:t>和评审</w:t>
      </w:r>
      <w:r>
        <w:rPr>
          <w:rFonts w:ascii="宋体" w:hAnsi="宋体"/>
          <w:sz w:val="24"/>
          <w:lang w:val="zh-CN"/>
        </w:rPr>
        <w:t>各投标文件</w:t>
      </w:r>
      <w:r>
        <w:rPr>
          <w:rFonts w:hint="eastAsia" w:ascii="宋体" w:hAnsi="宋体"/>
          <w:sz w:val="24"/>
        </w:rPr>
        <w:t>的资格审核部分</w:t>
      </w:r>
      <w:r>
        <w:rPr>
          <w:rFonts w:ascii="宋体" w:hAnsi="宋体"/>
          <w:sz w:val="24"/>
          <w:lang w:val="zh-CN"/>
        </w:rPr>
        <w:t>是否合格、有效</w:t>
      </w:r>
      <w:r>
        <w:rPr>
          <w:rFonts w:hint="eastAsia" w:ascii="宋体" w:hAnsi="宋体"/>
          <w:sz w:val="24"/>
        </w:rPr>
        <w:t>及评价审核得分</w:t>
      </w:r>
      <w:r>
        <w:rPr>
          <w:rFonts w:hint="eastAsia" w:ascii="宋体" w:hAnsi="宋体"/>
          <w:sz w:val="24"/>
          <w:lang w:val="zh-CN"/>
        </w:rPr>
        <w:t>（</w:t>
      </w:r>
      <w:r>
        <w:rPr>
          <w:rFonts w:ascii="宋体" w:hAnsi="宋体"/>
          <w:sz w:val="24"/>
          <w:lang w:val="zh-CN"/>
        </w:rPr>
        <w:t>凡不符合专业条件要求</w:t>
      </w:r>
      <w:r>
        <w:rPr>
          <w:rFonts w:hint="eastAsia" w:ascii="宋体" w:hAnsi="宋体"/>
          <w:sz w:val="24"/>
          <w:lang w:val="zh-CN"/>
        </w:rPr>
        <w:t>项</w:t>
      </w:r>
      <w:r>
        <w:rPr>
          <w:rFonts w:ascii="宋体" w:hAnsi="宋体"/>
          <w:sz w:val="24"/>
          <w:lang w:val="zh-CN"/>
        </w:rPr>
        <w:t>和未实质性响应</w:t>
      </w:r>
      <w:r>
        <w:rPr>
          <w:rFonts w:hint="eastAsia" w:ascii="宋体" w:hAnsi="宋体"/>
          <w:sz w:val="24"/>
        </w:rPr>
        <w:t>资格审核</w:t>
      </w:r>
      <w:r>
        <w:rPr>
          <w:rFonts w:hint="eastAsia" w:ascii="宋体" w:hAnsi="宋体"/>
          <w:sz w:val="24"/>
          <w:lang w:val="zh-CN"/>
        </w:rPr>
        <w:t>文件</w:t>
      </w:r>
      <w:r>
        <w:rPr>
          <w:rFonts w:ascii="宋体" w:hAnsi="宋体"/>
          <w:sz w:val="24"/>
          <w:lang w:val="zh-CN"/>
        </w:rPr>
        <w:t>要求的</w:t>
      </w:r>
      <w:r>
        <w:rPr>
          <w:rFonts w:hint="eastAsia" w:ascii="宋体" w:hAnsi="宋体"/>
          <w:sz w:val="24"/>
          <w:lang w:val="zh-CN"/>
        </w:rPr>
        <w:t>内容项</w:t>
      </w:r>
      <w:r>
        <w:rPr>
          <w:rFonts w:ascii="宋体" w:hAnsi="宋体"/>
          <w:sz w:val="24"/>
          <w:lang w:val="zh-CN"/>
        </w:rPr>
        <w:t>均不</w:t>
      </w:r>
      <w:r>
        <w:rPr>
          <w:rFonts w:hint="eastAsia" w:ascii="宋体" w:hAnsi="宋体"/>
          <w:sz w:val="24"/>
          <w:lang w:val="zh-CN"/>
        </w:rPr>
        <w:t>得分）</w:t>
      </w:r>
      <w:r>
        <w:rPr>
          <w:rFonts w:ascii="宋体" w:hAnsi="宋体"/>
          <w:sz w:val="24"/>
          <w:lang w:val="zh-CN"/>
        </w:rPr>
        <w:t>。</w:t>
      </w:r>
    </w:p>
    <w:p w14:paraId="43F7A290">
      <w:pPr>
        <w:numPr>
          <w:ilvl w:val="0"/>
          <w:numId w:val="1"/>
        </w:numPr>
        <w:spacing w:line="360" w:lineRule="auto"/>
        <w:rPr>
          <w:rFonts w:hint="eastAsia" w:ascii="宋体" w:hAnsi="宋体"/>
          <w:sz w:val="24"/>
          <w:lang w:val="zh-CN"/>
        </w:rPr>
      </w:pPr>
      <w:r>
        <w:rPr>
          <w:rFonts w:ascii="宋体" w:hAnsi="宋体"/>
          <w:sz w:val="24"/>
          <w:lang w:val="zh-CN"/>
        </w:rPr>
        <w:t>通过</w:t>
      </w:r>
      <w:r>
        <w:rPr>
          <w:rFonts w:hint="eastAsia" w:ascii="宋体" w:hAnsi="宋体"/>
          <w:sz w:val="24"/>
          <w:lang w:val="zh-CN"/>
        </w:rPr>
        <w:t>企业资格审核的应标方</w:t>
      </w:r>
      <w:r>
        <w:rPr>
          <w:rFonts w:ascii="宋体" w:hAnsi="宋体"/>
          <w:sz w:val="24"/>
          <w:lang w:val="zh-CN"/>
        </w:rPr>
        <w:t>，</w:t>
      </w:r>
      <w:r>
        <w:rPr>
          <w:rFonts w:hint="eastAsia" w:ascii="宋体" w:hAnsi="宋体"/>
          <w:sz w:val="24"/>
        </w:rPr>
        <w:t>按照供应商能力审核评审项目/评分标准的评分标准和计分方法，计算出符合资格审核得分。</w:t>
      </w:r>
    </w:p>
    <w:p w14:paraId="277093A8">
      <w:pPr>
        <w:numPr>
          <w:ilvl w:val="0"/>
          <w:numId w:val="1"/>
        </w:numPr>
        <w:spacing w:line="360" w:lineRule="auto"/>
        <w:rPr>
          <w:rFonts w:hint="eastAsia" w:ascii="宋体" w:hAnsi="宋体"/>
          <w:sz w:val="24"/>
          <w:lang w:val="zh-CN"/>
        </w:rPr>
      </w:pPr>
      <w:r>
        <w:rPr>
          <w:rFonts w:hint="eastAsia" w:ascii="宋体" w:hAnsi="宋体"/>
          <w:sz w:val="24"/>
        </w:rPr>
        <w:t>根据商务评分标准和计分方法,对其投标报价进行商务评分和计分。</w:t>
      </w:r>
    </w:p>
    <w:p w14:paraId="24DD5AD7">
      <w:pPr>
        <w:numPr>
          <w:ilvl w:val="0"/>
          <w:numId w:val="1"/>
        </w:numPr>
        <w:spacing w:line="360" w:lineRule="auto"/>
        <w:rPr>
          <w:rFonts w:hint="eastAsia" w:ascii="宋体" w:hAnsi="宋体"/>
          <w:sz w:val="24"/>
          <w:lang w:val="zh-CN"/>
        </w:rPr>
      </w:pPr>
      <w:r>
        <w:rPr>
          <w:rFonts w:hint="eastAsia" w:ascii="宋体" w:hAnsi="宋体"/>
          <w:sz w:val="24"/>
        </w:rPr>
        <w:t>根据供应商能力审核的评分、商务评分的分配分值权重进行加权计算，计算出评审的最终综合评估分，并按照从高到低依次进行排名，得出评审结果。</w:t>
      </w:r>
    </w:p>
    <w:p w14:paraId="5AF2B688">
      <w:pPr>
        <w:numPr>
          <w:ilvl w:val="0"/>
          <w:numId w:val="2"/>
        </w:numPr>
        <w:spacing w:line="440" w:lineRule="exact"/>
        <w:rPr>
          <w:rFonts w:hint="eastAsia" w:ascii="宋体" w:hAnsi="宋体"/>
          <w:b/>
          <w:color w:val="FF0000"/>
          <w:sz w:val="28"/>
          <w:szCs w:val="28"/>
          <w:lang w:val="zh-CN"/>
        </w:rPr>
      </w:pPr>
      <w:r>
        <w:rPr>
          <w:rFonts w:hint="eastAsia" w:ascii="宋体" w:hAnsi="宋体"/>
          <w:b/>
          <w:sz w:val="28"/>
          <w:szCs w:val="28"/>
          <w:lang w:val="zh-CN"/>
        </w:rPr>
        <w:t>评标标准</w:t>
      </w:r>
    </w:p>
    <w:p w14:paraId="77F1E355">
      <w:pPr>
        <w:numPr>
          <w:ilvl w:val="0"/>
          <w:numId w:val="3"/>
        </w:numPr>
        <w:spacing w:after="156" w:afterLines="50" w:line="440" w:lineRule="exact"/>
        <w:rPr>
          <w:rFonts w:hint="eastAsia" w:ascii="宋体" w:hAnsi="宋体" w:cs="宋体"/>
          <w:b/>
          <w:sz w:val="24"/>
          <w:szCs w:val="24"/>
          <w:lang w:val="zh-CN"/>
        </w:rPr>
      </w:pPr>
      <w:r>
        <w:rPr>
          <w:rFonts w:hint="eastAsia" w:ascii="宋体" w:hAnsi="宋体" w:cs="宋体"/>
          <w:b/>
          <w:sz w:val="24"/>
          <w:szCs w:val="24"/>
        </w:rPr>
        <w:t>供应商能力审核因素分</w:t>
      </w:r>
      <w:r>
        <w:rPr>
          <w:rFonts w:hint="eastAsia" w:ascii="宋体" w:hAnsi="宋体" w:cs="宋体"/>
          <w:b/>
          <w:sz w:val="24"/>
          <w:szCs w:val="24"/>
          <w:lang w:val="zh-CN"/>
        </w:rPr>
        <w:t>F1（满分</w:t>
      </w:r>
      <w:r>
        <w:rPr>
          <w:rFonts w:hint="eastAsia" w:ascii="宋体" w:hAnsi="宋体" w:cs="宋体"/>
          <w:b/>
          <w:sz w:val="24"/>
          <w:szCs w:val="24"/>
        </w:rPr>
        <w:t>100分，综合评审分配分值权重</w:t>
      </w:r>
      <w:r>
        <w:rPr>
          <w:rFonts w:hint="eastAsia" w:ascii="宋体" w:hAnsi="宋体" w:cs="宋体"/>
          <w:b/>
          <w:color w:val="FF0000"/>
          <w:sz w:val="24"/>
          <w:szCs w:val="24"/>
        </w:rPr>
        <w:t>50%</w:t>
      </w:r>
      <w:r>
        <w:rPr>
          <w:rFonts w:hint="eastAsia" w:ascii="宋体" w:hAnsi="宋体" w:cs="宋体"/>
          <w:b/>
          <w:sz w:val="24"/>
          <w:szCs w:val="24"/>
          <w:lang w:val="zh-CN"/>
        </w:rPr>
        <w:t>）</w:t>
      </w:r>
    </w:p>
    <w:p w14:paraId="15AB1E35">
      <w:pPr>
        <w:spacing w:after="156" w:afterLines="50" w:line="440" w:lineRule="exact"/>
        <w:ind w:firstLine="482" w:firstLineChars="200"/>
        <w:rPr>
          <w:rFonts w:hint="eastAsia" w:ascii="宋体" w:hAnsi="宋体" w:eastAsia="宋体" w:cs="宋体"/>
          <w:b/>
          <w:sz w:val="24"/>
          <w:szCs w:val="24"/>
          <w:lang w:val="zh-CN" w:eastAsia="zh-CN"/>
        </w:rPr>
      </w:pPr>
      <w:r>
        <w:rPr>
          <w:rFonts w:hint="eastAsia" w:ascii="宋体" w:hAnsi="宋体" w:cs="宋体"/>
          <w:b/>
          <w:sz w:val="24"/>
          <w:szCs w:val="24"/>
        </w:rPr>
        <w:t>供应商能力评审项目-技术T/品质Q/供应能力D/售后服务S，按表一内容及评审分值进行评审，各分项总分均为1</w:t>
      </w:r>
      <w:r>
        <w:rPr>
          <w:rFonts w:ascii="宋体" w:hAnsi="宋体" w:cs="宋体"/>
          <w:b/>
          <w:sz w:val="24"/>
          <w:szCs w:val="24"/>
        </w:rPr>
        <w:t>00</w:t>
      </w:r>
      <w:r>
        <w:rPr>
          <w:rFonts w:hint="eastAsia" w:ascii="宋体" w:hAnsi="宋体" w:cs="宋体"/>
          <w:b/>
          <w:sz w:val="24"/>
          <w:szCs w:val="24"/>
        </w:rPr>
        <w:t>分，最终各分项按分配的分值权重计算汇总为供应商能力评审综合得分项</w:t>
      </w:r>
      <w:r>
        <w:rPr>
          <w:rFonts w:hint="eastAsia" w:ascii="宋体" w:hAnsi="宋体" w:cs="宋体"/>
          <w:b/>
          <w:sz w:val="24"/>
          <w:szCs w:val="24"/>
          <w:lang w:eastAsia="zh-CN"/>
        </w:rPr>
        <w:t>。</w:t>
      </w:r>
    </w:p>
    <w:p w14:paraId="60B29811">
      <w:pPr>
        <w:spacing w:after="156" w:afterLines="50" w:line="440" w:lineRule="exact"/>
        <w:rPr>
          <w:rFonts w:hint="eastAsia" w:ascii="宋体" w:hAnsi="宋体" w:cs="宋体"/>
          <w:b/>
          <w:sz w:val="24"/>
          <w:szCs w:val="24"/>
        </w:rPr>
      </w:pPr>
      <w:r>
        <w:rPr>
          <w:rFonts w:hint="eastAsia" w:ascii="宋体" w:hAnsi="宋体" w:cs="宋体"/>
          <w:b/>
          <w:sz w:val="24"/>
          <w:szCs w:val="24"/>
        </w:rPr>
        <w:t>见表一：</w:t>
      </w:r>
      <w:r>
        <w:rPr>
          <w:rFonts w:hint="eastAsia" w:ascii="宋体" w:hAnsi="宋体"/>
          <w:b/>
          <w:sz w:val="24"/>
        </w:rPr>
        <w:t>供应商能力评审</w:t>
      </w:r>
      <w:r>
        <w:rPr>
          <w:rFonts w:hint="eastAsia" w:ascii="宋体" w:hAnsi="宋体" w:cs="宋体"/>
          <w:b/>
          <w:sz w:val="24"/>
          <w:szCs w:val="24"/>
        </w:rPr>
        <w:t>项目/评分标准</w:t>
      </w:r>
    </w:p>
    <w:tbl>
      <w:tblPr>
        <w:tblStyle w:val="15"/>
        <w:tblW w:w="8856" w:type="dxa"/>
        <w:jc w:val="center"/>
        <w:tblLayout w:type="autofit"/>
        <w:tblCellMar>
          <w:top w:w="0" w:type="dxa"/>
          <w:left w:w="108" w:type="dxa"/>
          <w:bottom w:w="0" w:type="dxa"/>
          <w:right w:w="108" w:type="dxa"/>
        </w:tblCellMar>
      </w:tblPr>
      <w:tblGrid>
        <w:gridCol w:w="417"/>
        <w:gridCol w:w="1205"/>
        <w:gridCol w:w="1440"/>
        <w:gridCol w:w="2977"/>
        <w:gridCol w:w="2817"/>
      </w:tblGrid>
      <w:tr w14:paraId="5FCD9B9D">
        <w:tblPrEx>
          <w:tblCellMar>
            <w:top w:w="0" w:type="dxa"/>
            <w:left w:w="108" w:type="dxa"/>
            <w:bottom w:w="0" w:type="dxa"/>
            <w:right w:w="108" w:type="dxa"/>
          </w:tblCellMar>
        </w:tblPrEx>
        <w:trPr>
          <w:tblHeader/>
          <w:jc w:val="center"/>
        </w:trPr>
        <w:tc>
          <w:tcPr>
            <w:tcW w:w="8856" w:type="dxa"/>
            <w:gridSpan w:val="5"/>
            <w:tcBorders>
              <w:top w:val="single" w:color="000000" w:sz="8" w:space="0"/>
              <w:left w:val="single" w:color="000000" w:sz="8" w:space="0"/>
              <w:bottom w:val="nil"/>
              <w:right w:val="single" w:color="000000" w:sz="4" w:space="0"/>
            </w:tcBorders>
            <w:noWrap/>
            <w:vAlign w:val="center"/>
          </w:tcPr>
          <w:p w14:paraId="290B8189">
            <w:pPr>
              <w:widowControl/>
              <w:snapToGrid w:val="0"/>
              <w:jc w:val="center"/>
              <w:textAlignment w:val="center"/>
              <w:rPr>
                <w:rFonts w:ascii="宋体" w:hAnsi="宋体" w:cs="宋体"/>
                <w:color w:val="000000"/>
                <w:sz w:val="36"/>
                <w:szCs w:val="36"/>
              </w:rPr>
            </w:pPr>
            <w:r>
              <w:rPr>
                <w:rFonts w:hint="eastAsia" w:ascii="宋体" w:hAnsi="宋体" w:cs="宋体"/>
                <w:color w:val="000000"/>
                <w:kern w:val="0"/>
                <w:sz w:val="28"/>
                <w:szCs w:val="28"/>
                <w:lang w:bidi="ar"/>
              </w:rPr>
              <w:t>供应商能力评审表</w:t>
            </w:r>
          </w:p>
        </w:tc>
      </w:tr>
      <w:tr w14:paraId="729C4169">
        <w:tblPrEx>
          <w:tblCellMar>
            <w:top w:w="0" w:type="dxa"/>
            <w:left w:w="108" w:type="dxa"/>
            <w:bottom w:w="0" w:type="dxa"/>
            <w:right w:w="108" w:type="dxa"/>
          </w:tblCellMar>
        </w:tblPrEx>
        <w:trPr>
          <w:trHeight w:val="312" w:hRule="atLeast"/>
          <w:tblHeader/>
          <w:jc w:val="center"/>
        </w:trPr>
        <w:tc>
          <w:tcPr>
            <w:tcW w:w="417" w:type="dxa"/>
            <w:vMerge w:val="restart"/>
            <w:tcBorders>
              <w:top w:val="single" w:color="000000" w:sz="4" w:space="0"/>
              <w:left w:val="single" w:color="000000" w:sz="4" w:space="0"/>
              <w:bottom w:val="single" w:color="000000" w:sz="4" w:space="0"/>
              <w:right w:val="single" w:color="000000" w:sz="4" w:space="0"/>
            </w:tcBorders>
            <w:noWrap w:val="0"/>
            <w:vAlign w:val="center"/>
          </w:tcPr>
          <w:p w14:paraId="45D3B735">
            <w:pPr>
              <w:widowControl/>
              <w:snapToGrid w:val="0"/>
              <w:jc w:val="center"/>
              <w:textAlignment w:val="center"/>
              <w:rPr>
                <w:rFonts w:hint="eastAsia" w:ascii="宋体" w:hAnsi="宋体" w:cs="宋体"/>
                <w:b/>
                <w:bCs/>
                <w:color w:val="000000"/>
                <w:sz w:val="20"/>
              </w:rPr>
            </w:pPr>
            <w:r>
              <w:rPr>
                <w:rFonts w:hint="eastAsia" w:ascii="宋体" w:hAnsi="宋体" w:cs="宋体"/>
                <w:b/>
                <w:bCs/>
                <w:color w:val="000000"/>
                <w:kern w:val="0"/>
                <w:sz w:val="20"/>
                <w:lang w:bidi="ar"/>
              </w:rPr>
              <w:t>序</w:t>
            </w:r>
          </w:p>
        </w:tc>
        <w:tc>
          <w:tcPr>
            <w:tcW w:w="1205" w:type="dxa"/>
            <w:vMerge w:val="restart"/>
            <w:tcBorders>
              <w:top w:val="single" w:color="000000" w:sz="4" w:space="0"/>
              <w:left w:val="single" w:color="000000" w:sz="4" w:space="0"/>
              <w:bottom w:val="single" w:color="000000" w:sz="4" w:space="0"/>
              <w:right w:val="single" w:color="000000" w:sz="4" w:space="0"/>
            </w:tcBorders>
            <w:noWrap/>
            <w:vAlign w:val="center"/>
          </w:tcPr>
          <w:p w14:paraId="198BAC55">
            <w:pPr>
              <w:widowControl/>
              <w:snapToGrid w:val="0"/>
              <w:jc w:val="center"/>
              <w:textAlignment w:val="center"/>
              <w:rPr>
                <w:rFonts w:hint="eastAsia" w:ascii="宋体" w:hAnsi="宋体" w:cs="宋体"/>
                <w:b/>
                <w:bCs/>
                <w:color w:val="000000"/>
                <w:sz w:val="20"/>
              </w:rPr>
            </w:pPr>
            <w:r>
              <w:rPr>
                <w:rFonts w:hint="eastAsia" w:ascii="宋体" w:hAnsi="宋体" w:cs="宋体"/>
                <w:b/>
                <w:bCs/>
                <w:color w:val="000000"/>
                <w:kern w:val="0"/>
                <w:sz w:val="20"/>
                <w:lang w:bidi="ar"/>
              </w:rPr>
              <w:t>评审方向</w:t>
            </w: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14:paraId="22BFB602">
            <w:pPr>
              <w:widowControl/>
              <w:snapToGrid w:val="0"/>
              <w:jc w:val="center"/>
              <w:textAlignment w:val="center"/>
              <w:rPr>
                <w:rFonts w:hint="eastAsia" w:ascii="宋体" w:hAnsi="宋体" w:cs="宋体"/>
                <w:b/>
                <w:bCs/>
                <w:color w:val="000000"/>
                <w:sz w:val="20"/>
              </w:rPr>
            </w:pPr>
            <w:r>
              <w:rPr>
                <w:rFonts w:hint="eastAsia" w:ascii="宋体" w:hAnsi="宋体" w:cs="宋体"/>
                <w:b/>
                <w:bCs/>
                <w:color w:val="000000"/>
                <w:kern w:val="0"/>
                <w:sz w:val="20"/>
                <w:lang w:bidi="ar"/>
              </w:rPr>
              <w:t>供应商能力评审</w:t>
            </w:r>
          </w:p>
        </w:tc>
        <w:tc>
          <w:tcPr>
            <w:tcW w:w="2977" w:type="dxa"/>
            <w:vMerge w:val="restart"/>
            <w:tcBorders>
              <w:top w:val="single" w:color="000000" w:sz="4" w:space="0"/>
              <w:left w:val="single" w:color="000000" w:sz="4" w:space="0"/>
              <w:bottom w:val="single" w:color="000000" w:sz="4" w:space="0"/>
              <w:right w:val="single" w:color="000000" w:sz="4" w:space="0"/>
            </w:tcBorders>
            <w:noWrap w:val="0"/>
            <w:vAlign w:val="center"/>
          </w:tcPr>
          <w:p w14:paraId="6978C6E5">
            <w:pPr>
              <w:widowControl/>
              <w:snapToGrid w:val="0"/>
              <w:jc w:val="center"/>
              <w:textAlignment w:val="center"/>
              <w:rPr>
                <w:rFonts w:hint="eastAsia" w:ascii="宋体" w:hAnsi="宋体" w:cs="宋体"/>
                <w:b/>
                <w:bCs/>
                <w:color w:val="000000"/>
                <w:sz w:val="20"/>
              </w:rPr>
            </w:pPr>
            <w:r>
              <w:rPr>
                <w:rFonts w:hint="eastAsia" w:ascii="宋体" w:hAnsi="宋体" w:cs="宋体"/>
                <w:b/>
                <w:bCs/>
                <w:color w:val="000000"/>
                <w:kern w:val="0"/>
                <w:sz w:val="20"/>
                <w:lang w:bidi="ar"/>
              </w:rPr>
              <w:t>评分标准</w:t>
            </w:r>
          </w:p>
        </w:tc>
        <w:tc>
          <w:tcPr>
            <w:tcW w:w="2817" w:type="dxa"/>
            <w:vMerge w:val="restart"/>
            <w:tcBorders>
              <w:top w:val="single" w:color="000000" w:sz="4" w:space="0"/>
              <w:left w:val="single" w:color="000000" w:sz="4" w:space="0"/>
              <w:bottom w:val="single" w:color="000000" w:sz="4" w:space="0"/>
              <w:right w:val="single" w:color="000000" w:sz="4" w:space="0"/>
            </w:tcBorders>
            <w:noWrap w:val="0"/>
            <w:vAlign w:val="center"/>
          </w:tcPr>
          <w:p w14:paraId="6978AE80">
            <w:pPr>
              <w:widowControl/>
              <w:snapToGrid w:val="0"/>
              <w:jc w:val="center"/>
              <w:textAlignment w:val="center"/>
              <w:rPr>
                <w:rFonts w:hint="eastAsia" w:ascii="宋体" w:hAnsi="宋体" w:cs="宋体"/>
                <w:b/>
                <w:bCs/>
                <w:color w:val="000000"/>
                <w:sz w:val="20"/>
              </w:rPr>
            </w:pPr>
            <w:r>
              <w:rPr>
                <w:rFonts w:hint="eastAsia" w:ascii="宋体" w:hAnsi="宋体" w:cs="宋体"/>
                <w:b/>
                <w:bCs/>
                <w:color w:val="000000"/>
                <w:kern w:val="0"/>
                <w:sz w:val="20"/>
                <w:lang w:bidi="ar"/>
              </w:rPr>
              <w:t>提交相关评审资料</w:t>
            </w:r>
          </w:p>
        </w:tc>
      </w:tr>
      <w:tr w14:paraId="4EA4F86D">
        <w:tblPrEx>
          <w:tblCellMar>
            <w:top w:w="0" w:type="dxa"/>
            <w:left w:w="108" w:type="dxa"/>
            <w:bottom w:w="0" w:type="dxa"/>
            <w:right w:w="108" w:type="dxa"/>
          </w:tblCellMar>
        </w:tblPrEx>
        <w:trPr>
          <w:trHeight w:val="312" w:hRule="atLeast"/>
          <w:tblHeader/>
          <w:jc w:val="center"/>
        </w:trPr>
        <w:tc>
          <w:tcPr>
            <w:tcW w:w="4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1E0485">
            <w:pPr>
              <w:snapToGrid w:val="0"/>
              <w:jc w:val="center"/>
              <w:rPr>
                <w:rFonts w:hint="eastAsia" w:ascii="宋体" w:hAnsi="宋体" w:cs="宋体"/>
                <w:b/>
                <w:bCs/>
                <w:color w:val="000000"/>
                <w:sz w:val="18"/>
              </w:rPr>
            </w:pPr>
          </w:p>
        </w:tc>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0D816D63">
            <w:pPr>
              <w:snapToGrid w:val="0"/>
              <w:jc w:val="center"/>
              <w:rPr>
                <w:rFonts w:hint="eastAsia" w:ascii="宋体" w:hAnsi="宋体" w:cs="宋体"/>
                <w:b/>
                <w:bCs/>
                <w:color w:val="000000"/>
                <w:sz w:val="18"/>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2E6E37">
            <w:pPr>
              <w:snapToGrid w:val="0"/>
              <w:jc w:val="center"/>
              <w:rPr>
                <w:rFonts w:hint="eastAsia" w:ascii="宋体" w:hAnsi="宋体" w:cs="宋体"/>
                <w:b/>
                <w:bCs/>
                <w:color w:val="000000"/>
                <w:sz w:val="18"/>
              </w:rPr>
            </w:pPr>
          </w:p>
        </w:tc>
        <w:tc>
          <w:tcPr>
            <w:tcW w:w="29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60F47F">
            <w:pPr>
              <w:snapToGrid w:val="0"/>
              <w:jc w:val="left"/>
              <w:rPr>
                <w:rFonts w:hint="eastAsia" w:ascii="宋体" w:hAnsi="宋体" w:cs="宋体"/>
                <w:b/>
                <w:bCs/>
                <w:color w:val="000000"/>
                <w:sz w:val="18"/>
              </w:rPr>
            </w:pPr>
          </w:p>
        </w:tc>
        <w:tc>
          <w:tcPr>
            <w:tcW w:w="2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D880BA">
            <w:pPr>
              <w:snapToGrid w:val="0"/>
              <w:jc w:val="left"/>
              <w:rPr>
                <w:rFonts w:hint="eastAsia" w:ascii="宋体" w:hAnsi="宋体" w:cs="宋体"/>
                <w:b/>
                <w:bCs/>
                <w:color w:val="000000"/>
                <w:sz w:val="18"/>
              </w:rPr>
            </w:pPr>
          </w:p>
        </w:tc>
      </w:tr>
      <w:tr w14:paraId="3D6233DF">
        <w:tblPrEx>
          <w:tblCellMar>
            <w:top w:w="0" w:type="dxa"/>
            <w:left w:w="108" w:type="dxa"/>
            <w:bottom w:w="0" w:type="dxa"/>
            <w:right w:w="108" w:type="dxa"/>
          </w:tblCellMar>
        </w:tblPrEx>
        <w:trPr>
          <w:trHeight w:val="312" w:hRule="atLeast"/>
          <w:tblHeader/>
          <w:jc w:val="center"/>
        </w:trPr>
        <w:tc>
          <w:tcPr>
            <w:tcW w:w="4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F3B33A">
            <w:pPr>
              <w:snapToGrid w:val="0"/>
              <w:jc w:val="center"/>
              <w:rPr>
                <w:rFonts w:hint="eastAsia" w:ascii="宋体" w:hAnsi="宋体" w:cs="宋体"/>
                <w:b/>
                <w:bCs/>
                <w:color w:val="000000"/>
                <w:sz w:val="18"/>
              </w:rPr>
            </w:pPr>
          </w:p>
        </w:tc>
        <w:tc>
          <w:tcPr>
            <w:tcW w:w="1205" w:type="dxa"/>
            <w:vMerge w:val="continue"/>
            <w:tcBorders>
              <w:top w:val="single" w:color="000000" w:sz="4" w:space="0"/>
              <w:left w:val="single" w:color="000000" w:sz="4" w:space="0"/>
              <w:bottom w:val="single" w:color="000000" w:sz="4" w:space="0"/>
              <w:right w:val="single" w:color="000000" w:sz="4" w:space="0"/>
            </w:tcBorders>
            <w:noWrap/>
            <w:vAlign w:val="center"/>
          </w:tcPr>
          <w:p w14:paraId="30E4AF17">
            <w:pPr>
              <w:snapToGrid w:val="0"/>
              <w:jc w:val="center"/>
              <w:rPr>
                <w:rFonts w:hint="eastAsia" w:ascii="宋体" w:hAnsi="宋体" w:cs="宋体"/>
                <w:b/>
                <w:bCs/>
                <w:color w:val="000000"/>
                <w:sz w:val="18"/>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D13D6B">
            <w:pPr>
              <w:snapToGrid w:val="0"/>
              <w:jc w:val="center"/>
              <w:rPr>
                <w:rFonts w:hint="eastAsia" w:ascii="宋体" w:hAnsi="宋体" w:cs="宋体"/>
                <w:b/>
                <w:bCs/>
                <w:color w:val="000000"/>
                <w:sz w:val="18"/>
              </w:rPr>
            </w:pPr>
          </w:p>
        </w:tc>
        <w:tc>
          <w:tcPr>
            <w:tcW w:w="29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6245C7">
            <w:pPr>
              <w:snapToGrid w:val="0"/>
              <w:jc w:val="left"/>
              <w:rPr>
                <w:rFonts w:hint="eastAsia" w:ascii="宋体" w:hAnsi="宋体" w:cs="宋体"/>
                <w:b/>
                <w:bCs/>
                <w:color w:val="000000"/>
                <w:sz w:val="18"/>
              </w:rPr>
            </w:pPr>
          </w:p>
        </w:tc>
        <w:tc>
          <w:tcPr>
            <w:tcW w:w="2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D863AF">
            <w:pPr>
              <w:snapToGrid w:val="0"/>
              <w:jc w:val="left"/>
              <w:rPr>
                <w:rFonts w:hint="eastAsia" w:ascii="宋体" w:hAnsi="宋体" w:cs="宋体"/>
                <w:b/>
                <w:bCs/>
                <w:color w:val="000000"/>
                <w:sz w:val="18"/>
              </w:rPr>
            </w:pPr>
          </w:p>
        </w:tc>
      </w:tr>
      <w:tr w14:paraId="2126C34B">
        <w:tblPrEx>
          <w:tblCellMar>
            <w:top w:w="0" w:type="dxa"/>
            <w:left w:w="108" w:type="dxa"/>
            <w:bottom w:w="0" w:type="dxa"/>
            <w:right w:w="108" w:type="dxa"/>
          </w:tblCellMar>
        </w:tblPrEx>
        <w:trPr>
          <w:trHeight w:val="2947" w:hRule="atLeast"/>
          <w:jc w:val="center"/>
        </w:trPr>
        <w:tc>
          <w:tcPr>
            <w:tcW w:w="417" w:type="dxa"/>
            <w:tcBorders>
              <w:top w:val="nil"/>
              <w:left w:val="single" w:color="000000" w:sz="8" w:space="0"/>
              <w:bottom w:val="nil"/>
              <w:right w:val="single" w:color="000000" w:sz="4" w:space="0"/>
            </w:tcBorders>
            <w:noWrap w:val="0"/>
            <w:vAlign w:val="center"/>
          </w:tcPr>
          <w:p w14:paraId="728CF737">
            <w:pPr>
              <w:widowControl/>
              <w:snapToGrid w:val="0"/>
              <w:jc w:val="center"/>
              <w:textAlignment w:val="center"/>
              <w:rPr>
                <w:rFonts w:hint="eastAsia" w:ascii="宋体" w:hAnsi="宋体" w:cs="宋体"/>
                <w:b/>
                <w:bCs/>
                <w:color w:val="000000"/>
                <w:sz w:val="18"/>
              </w:rPr>
            </w:pPr>
            <w:r>
              <w:rPr>
                <w:rFonts w:hint="eastAsia" w:ascii="宋体" w:hAnsi="宋体" w:cs="宋体"/>
                <w:b/>
                <w:bCs/>
                <w:color w:val="000000"/>
                <w:kern w:val="0"/>
                <w:sz w:val="18"/>
                <w:lang w:bidi="ar"/>
              </w:rPr>
              <w:t>1</w:t>
            </w:r>
          </w:p>
        </w:tc>
        <w:tc>
          <w:tcPr>
            <w:tcW w:w="1205" w:type="dxa"/>
            <w:vMerge w:val="restart"/>
            <w:tcBorders>
              <w:top w:val="nil"/>
              <w:left w:val="nil"/>
              <w:bottom w:val="nil"/>
              <w:right w:val="single" w:color="000000" w:sz="4" w:space="0"/>
            </w:tcBorders>
            <w:noWrap w:val="0"/>
            <w:vAlign w:val="center"/>
          </w:tcPr>
          <w:p w14:paraId="69FD3F0C">
            <w:pPr>
              <w:widowControl/>
              <w:snapToGrid w:val="0"/>
              <w:jc w:val="center"/>
              <w:textAlignment w:val="center"/>
              <w:rPr>
                <w:rFonts w:hint="eastAsia" w:ascii="宋体" w:hAnsi="宋体" w:cs="宋体"/>
                <w:color w:val="000000"/>
                <w:sz w:val="18"/>
              </w:rPr>
            </w:pPr>
            <w:r>
              <w:rPr>
                <w:rFonts w:hint="eastAsia" w:ascii="宋体" w:hAnsi="宋体" w:cs="宋体"/>
                <w:color w:val="000000"/>
                <w:kern w:val="0"/>
                <w:sz w:val="18"/>
                <w:lang w:bidi="ar"/>
              </w:rPr>
              <w:t>技术T分项</w:t>
            </w:r>
            <w:r>
              <w:rPr>
                <w:rFonts w:hint="eastAsia" w:ascii="宋体" w:hAnsi="宋体" w:cs="宋体"/>
                <w:color w:val="000000"/>
                <w:sz w:val="18"/>
                <w:szCs w:val="18"/>
                <w:highlight w:val="none"/>
              </w:rPr>
              <w:t>（</w:t>
            </w:r>
            <w:r>
              <w:rPr>
                <w:rFonts w:hint="eastAsia" w:ascii="宋体" w:hAnsi="宋体" w:cs="宋体"/>
                <w:color w:val="000000"/>
                <w:sz w:val="18"/>
                <w:szCs w:val="18"/>
                <w:highlight w:val="none"/>
                <w:lang w:val="en-US" w:eastAsia="zh-CN"/>
              </w:rPr>
              <w:t>60</w:t>
            </w:r>
            <w:r>
              <w:rPr>
                <w:rFonts w:hint="eastAsia" w:ascii="宋体" w:hAnsi="宋体" w:cs="宋体"/>
                <w:color w:val="000000"/>
                <w:sz w:val="18"/>
                <w:szCs w:val="18"/>
                <w:highlight w:val="none"/>
              </w:rPr>
              <w:t>分）</w:t>
            </w:r>
          </w:p>
        </w:tc>
        <w:tc>
          <w:tcPr>
            <w:tcW w:w="1440" w:type="dxa"/>
            <w:tcBorders>
              <w:top w:val="nil"/>
              <w:left w:val="single" w:color="000000" w:sz="4" w:space="0"/>
              <w:bottom w:val="single" w:color="000000" w:sz="4" w:space="0"/>
              <w:right w:val="single" w:color="000000" w:sz="4" w:space="0"/>
            </w:tcBorders>
            <w:noWrap w:val="0"/>
            <w:vAlign w:val="center"/>
          </w:tcPr>
          <w:p w14:paraId="4B8744E6">
            <w:pPr>
              <w:widowControl/>
              <w:snapToGrid w:val="0"/>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项目团队人员配置方案</w:t>
            </w:r>
          </w:p>
          <w:p w14:paraId="5FBB3535">
            <w:pPr>
              <w:widowControl/>
              <w:snapToGrid w:val="0"/>
              <w:jc w:val="center"/>
              <w:textAlignment w:val="center"/>
              <w:rPr>
                <w:rFonts w:hint="eastAsia" w:ascii="宋体" w:hAnsi="宋体" w:cs="宋体"/>
                <w:color w:val="000000"/>
                <w:sz w:val="18"/>
                <w:szCs w:val="18"/>
              </w:rPr>
            </w:pPr>
            <w:r>
              <w:rPr>
                <w:rFonts w:hint="eastAsia" w:ascii="宋体" w:hAnsi="宋体" w:cs="宋体"/>
                <w:color w:val="000000"/>
                <w:sz w:val="18"/>
                <w:szCs w:val="18"/>
                <w:highlight w:val="none"/>
              </w:rPr>
              <w:t>（</w:t>
            </w:r>
            <w:r>
              <w:rPr>
                <w:rFonts w:hint="eastAsia" w:ascii="宋体" w:hAnsi="宋体" w:cs="宋体"/>
                <w:color w:val="000000"/>
                <w:sz w:val="18"/>
                <w:szCs w:val="18"/>
                <w:highlight w:val="none"/>
                <w:lang w:val="en-US" w:eastAsia="zh-CN"/>
              </w:rPr>
              <w:t>10</w:t>
            </w:r>
            <w:r>
              <w:rPr>
                <w:rFonts w:hint="eastAsia" w:ascii="宋体" w:hAnsi="宋体" w:cs="宋体"/>
                <w:color w:val="000000"/>
                <w:sz w:val="18"/>
                <w:szCs w:val="18"/>
                <w:highlight w:val="none"/>
              </w:rPr>
              <w:t>分）</w:t>
            </w:r>
          </w:p>
        </w:tc>
        <w:tc>
          <w:tcPr>
            <w:tcW w:w="2977" w:type="dxa"/>
            <w:tcBorders>
              <w:top w:val="nil"/>
              <w:left w:val="single" w:color="000000" w:sz="4" w:space="0"/>
              <w:bottom w:val="single" w:color="000000" w:sz="4" w:space="0"/>
              <w:right w:val="single" w:color="000000" w:sz="4" w:space="0"/>
            </w:tcBorders>
            <w:noWrap w:val="0"/>
            <w:vAlign w:val="center"/>
          </w:tcPr>
          <w:p w14:paraId="396D1EF1">
            <w:pPr>
              <w:widowControl/>
              <w:snapToGrid w:val="0"/>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根据投标人拟投入本项目的服务团队人员组成情况进行评价：</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①团队拟配备人员数量：</w:t>
            </w:r>
          </w:p>
          <w:p w14:paraId="4F645ED8">
            <w:pPr>
              <w:widowControl/>
              <w:snapToGrid w:val="0"/>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人数≥6人，得</w:t>
            </w:r>
            <w:r>
              <w:rPr>
                <w:rFonts w:hint="eastAsia" w:ascii="宋体" w:hAnsi="宋体" w:eastAsia="宋体" w:cs="宋体"/>
                <w:color w:val="000000"/>
                <w:kern w:val="0"/>
                <w:sz w:val="18"/>
                <w:szCs w:val="18"/>
                <w:lang w:val="en-US" w:eastAsia="zh-CN" w:bidi="ar"/>
              </w:rPr>
              <w:t>5</w:t>
            </w:r>
            <w:r>
              <w:rPr>
                <w:rFonts w:hint="eastAsia" w:ascii="宋体" w:hAnsi="宋体" w:eastAsia="宋体" w:cs="宋体"/>
                <w:color w:val="000000"/>
                <w:kern w:val="0"/>
                <w:sz w:val="18"/>
                <w:szCs w:val="18"/>
                <w:lang w:bidi="ar"/>
              </w:rPr>
              <w:t>分；</w:t>
            </w:r>
          </w:p>
          <w:p w14:paraId="5B7D3112">
            <w:pPr>
              <w:widowControl/>
              <w:snapToGrid w:val="0"/>
              <w:jc w:val="left"/>
              <w:textAlignment w:val="center"/>
              <w:rPr>
                <w:rFonts w:hint="eastAsia" w:ascii="宋体" w:hAnsi="宋体" w:cs="宋体"/>
                <w:color w:val="000000"/>
                <w:sz w:val="18"/>
                <w:szCs w:val="18"/>
              </w:rPr>
            </w:pPr>
            <w:r>
              <w:rPr>
                <w:rFonts w:hint="eastAsia" w:ascii="宋体" w:hAnsi="宋体" w:eastAsia="宋体" w:cs="宋体"/>
                <w:color w:val="000000"/>
                <w:kern w:val="0"/>
                <w:sz w:val="18"/>
                <w:szCs w:val="18"/>
                <w:lang w:bidi="ar"/>
              </w:rPr>
              <w:t>人数少于6人不得分。</w:t>
            </w:r>
            <w:r>
              <w:rPr>
                <w:rFonts w:hint="eastAsia" w:ascii="宋体" w:hAnsi="宋体" w:eastAsia="宋体" w:cs="宋体"/>
                <w:color w:val="000000"/>
                <w:kern w:val="0"/>
                <w:sz w:val="18"/>
                <w:szCs w:val="18"/>
                <w:lang w:bidi="ar"/>
              </w:rPr>
              <w:br w:type="textWrapping"/>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② 配置人员</w:t>
            </w:r>
            <w:r>
              <w:rPr>
                <w:rFonts w:hint="eastAsia" w:ascii="宋体" w:hAnsi="宋体" w:cs="宋体"/>
                <w:color w:val="000000"/>
                <w:kern w:val="0"/>
                <w:sz w:val="18"/>
                <w:szCs w:val="18"/>
                <w:highlight w:val="none"/>
                <w:lang w:bidi="ar"/>
              </w:rPr>
              <w:t>≥6人</w:t>
            </w:r>
            <w:r>
              <w:rPr>
                <w:rFonts w:hint="eastAsia" w:ascii="宋体" w:hAnsi="宋体" w:cs="宋体"/>
                <w:color w:val="000000"/>
                <w:kern w:val="0"/>
                <w:sz w:val="18"/>
                <w:szCs w:val="18"/>
                <w:lang w:bidi="ar"/>
              </w:rPr>
              <w:t>基础上，须配备</w:t>
            </w:r>
            <w:r>
              <w:rPr>
                <w:rFonts w:hint="eastAsia" w:ascii="宋体" w:hAnsi="宋体" w:cs="宋体"/>
                <w:color w:val="000000"/>
                <w:kern w:val="0"/>
                <w:sz w:val="18"/>
                <w:szCs w:val="16"/>
                <w:lang w:bidi="ar"/>
              </w:rPr>
              <w:t>项目负责人、策略、策划、文案、AE</w:t>
            </w:r>
            <w:r>
              <w:rPr>
                <w:rFonts w:hint="eastAsia" w:ascii="宋体" w:hAnsi="宋体" w:cs="宋体"/>
                <w:color w:val="000000"/>
                <w:kern w:val="0"/>
                <w:sz w:val="18"/>
                <w:szCs w:val="18"/>
                <w:lang w:bidi="ar"/>
              </w:rPr>
              <w:t>专业服务人员，且均具备</w:t>
            </w:r>
            <w:r>
              <w:rPr>
                <w:rFonts w:hint="eastAsia" w:ascii="宋体" w:hAnsi="宋体" w:cs="宋体"/>
                <w:color w:val="000000"/>
                <w:kern w:val="0"/>
                <w:sz w:val="18"/>
                <w:szCs w:val="18"/>
                <w:highlight w:val="none"/>
                <w:lang w:bidi="ar"/>
              </w:rPr>
              <w:t>≥</w:t>
            </w:r>
            <w:r>
              <w:rPr>
                <w:rFonts w:hint="eastAsia" w:ascii="宋体" w:hAnsi="宋体" w:cs="宋体"/>
                <w:color w:val="000000"/>
                <w:kern w:val="0"/>
                <w:sz w:val="18"/>
                <w:szCs w:val="18"/>
                <w:lang w:bidi="ar"/>
              </w:rPr>
              <w:t>两年工作经验，全部满足条件得5分，否则得0分。</w:t>
            </w:r>
          </w:p>
        </w:tc>
        <w:tc>
          <w:tcPr>
            <w:tcW w:w="2817" w:type="dxa"/>
            <w:tcBorders>
              <w:top w:val="nil"/>
              <w:left w:val="single" w:color="000000" w:sz="8" w:space="0"/>
              <w:bottom w:val="single" w:color="000000" w:sz="8" w:space="0"/>
              <w:right w:val="single" w:color="000000" w:sz="8" w:space="0"/>
            </w:tcBorders>
            <w:noWrap w:val="0"/>
            <w:vAlign w:val="center"/>
          </w:tcPr>
          <w:p w14:paraId="7397C67E">
            <w:pPr>
              <w:widowControl/>
              <w:snapToGrid w:val="0"/>
              <w:jc w:val="left"/>
              <w:textAlignment w:val="center"/>
              <w:rPr>
                <w:rFonts w:hint="eastAsia" w:ascii="宋体" w:hAnsi="宋体" w:cs="宋体"/>
                <w:color w:val="000000"/>
                <w:sz w:val="18"/>
                <w:szCs w:val="16"/>
              </w:rPr>
            </w:pPr>
            <w:r>
              <w:rPr>
                <w:rFonts w:hint="eastAsia" w:ascii="宋体" w:hAnsi="宋体" w:cs="宋体"/>
                <w:color w:val="000000"/>
                <w:kern w:val="0"/>
                <w:sz w:val="18"/>
                <w:szCs w:val="16"/>
                <w:lang w:bidi="ar"/>
              </w:rPr>
              <w:t>（1）投标人应根据招标文件&lt;项目团队人员配置方案&gt;提供人员信息，拟配团队人员包括项目负责人、策略、策划、文案、AE等专业服务人员，不含行政、财务等岗位人员。</w:t>
            </w:r>
            <w:r>
              <w:rPr>
                <w:rFonts w:hint="eastAsia" w:ascii="宋体" w:hAnsi="宋体" w:cs="宋体"/>
                <w:color w:val="000000"/>
                <w:kern w:val="0"/>
                <w:sz w:val="18"/>
                <w:szCs w:val="16"/>
                <w:lang w:bidi="ar"/>
              </w:rPr>
              <w:br w:type="textWrapping"/>
            </w:r>
            <w:r>
              <w:rPr>
                <w:rFonts w:hint="eastAsia" w:ascii="宋体" w:hAnsi="宋体" w:cs="宋体"/>
                <w:color w:val="000000"/>
                <w:kern w:val="0"/>
                <w:sz w:val="18"/>
                <w:szCs w:val="16"/>
                <w:lang w:bidi="ar"/>
              </w:rPr>
              <w:t>（2）应提供团队人员简历、劳动合同及投标截止时间前</w:t>
            </w:r>
            <w:r>
              <w:rPr>
                <w:rFonts w:hint="eastAsia" w:ascii="宋体" w:hAnsi="宋体" w:cs="宋体"/>
                <w:color w:val="000000"/>
                <w:kern w:val="0"/>
                <w:sz w:val="18"/>
                <w:szCs w:val="16"/>
                <w:lang w:val="en-US" w:eastAsia="zh-CN" w:bidi="ar"/>
              </w:rPr>
              <w:t>3</w:t>
            </w:r>
            <w:r>
              <w:rPr>
                <w:rFonts w:hint="eastAsia" w:ascii="宋体" w:hAnsi="宋体" w:cs="宋体"/>
                <w:color w:val="000000"/>
                <w:kern w:val="0"/>
                <w:sz w:val="18"/>
                <w:szCs w:val="16"/>
                <w:lang w:bidi="ar"/>
              </w:rPr>
              <w:t>个月投标人为人员缴纳社保证明材料。</w:t>
            </w:r>
            <w:r>
              <w:rPr>
                <w:rFonts w:hint="eastAsia" w:ascii="宋体" w:hAnsi="宋体" w:cs="宋体"/>
                <w:color w:val="000000"/>
                <w:kern w:val="0"/>
                <w:sz w:val="18"/>
                <w:szCs w:val="16"/>
                <w:lang w:bidi="ar"/>
              </w:rPr>
              <w:br w:type="textWrapping"/>
            </w:r>
            <w:r>
              <w:rPr>
                <w:rFonts w:hint="eastAsia" w:ascii="宋体" w:hAnsi="宋体" w:cs="宋体"/>
                <w:color w:val="000000"/>
                <w:kern w:val="0"/>
                <w:sz w:val="18"/>
                <w:szCs w:val="16"/>
                <w:lang w:bidi="ar"/>
              </w:rPr>
              <w:t>（3）工作经验年限以人员简历所体现的工作经验年限为准。</w:t>
            </w:r>
          </w:p>
        </w:tc>
      </w:tr>
      <w:tr w14:paraId="65E7A339">
        <w:tblPrEx>
          <w:tblCellMar>
            <w:top w:w="0" w:type="dxa"/>
            <w:left w:w="108" w:type="dxa"/>
            <w:bottom w:w="0" w:type="dxa"/>
            <w:right w:w="108" w:type="dxa"/>
          </w:tblCellMar>
        </w:tblPrEx>
        <w:trPr>
          <w:jc w:val="center"/>
        </w:trPr>
        <w:tc>
          <w:tcPr>
            <w:tcW w:w="417" w:type="dxa"/>
            <w:tcBorders>
              <w:top w:val="nil"/>
              <w:left w:val="single" w:color="000000" w:sz="8" w:space="0"/>
              <w:bottom w:val="nil"/>
              <w:right w:val="single" w:color="000000" w:sz="4" w:space="0"/>
            </w:tcBorders>
            <w:noWrap w:val="0"/>
            <w:vAlign w:val="center"/>
          </w:tcPr>
          <w:p w14:paraId="7A56F3C2">
            <w:pPr>
              <w:widowControl/>
              <w:snapToGrid w:val="0"/>
              <w:jc w:val="center"/>
              <w:textAlignment w:val="center"/>
              <w:rPr>
                <w:rFonts w:hint="eastAsia" w:ascii="宋体" w:hAnsi="宋体" w:cs="宋体"/>
                <w:b/>
                <w:bCs/>
                <w:color w:val="000000"/>
                <w:sz w:val="18"/>
              </w:rPr>
            </w:pPr>
            <w:r>
              <w:rPr>
                <w:rFonts w:hint="eastAsia" w:ascii="宋体" w:hAnsi="宋体" w:cs="宋体"/>
                <w:b/>
                <w:bCs/>
                <w:color w:val="000000"/>
                <w:kern w:val="0"/>
                <w:sz w:val="18"/>
                <w:lang w:bidi="ar"/>
              </w:rPr>
              <w:t>2</w:t>
            </w:r>
          </w:p>
        </w:tc>
        <w:tc>
          <w:tcPr>
            <w:tcW w:w="1205" w:type="dxa"/>
            <w:vMerge w:val="continue"/>
            <w:tcBorders>
              <w:top w:val="nil"/>
              <w:left w:val="nil"/>
              <w:bottom w:val="nil"/>
              <w:right w:val="single" w:color="000000" w:sz="4" w:space="0"/>
            </w:tcBorders>
            <w:noWrap w:val="0"/>
            <w:vAlign w:val="center"/>
          </w:tcPr>
          <w:p w14:paraId="10127DBB">
            <w:pPr>
              <w:snapToGrid w:val="0"/>
              <w:jc w:val="center"/>
              <w:rPr>
                <w:rFonts w:hint="eastAsia" w:ascii="宋体" w:hAnsi="宋体" w:cs="宋体"/>
                <w:color w:val="000000"/>
                <w:sz w:val="18"/>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37DC8E6">
            <w:pPr>
              <w:widowControl/>
              <w:snapToGrid w:val="0"/>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项目负责人资质</w:t>
            </w:r>
          </w:p>
          <w:p w14:paraId="17EE8F72">
            <w:pPr>
              <w:widowControl/>
              <w:snapToGrid w:val="0"/>
              <w:jc w:val="center"/>
              <w:textAlignment w:val="center"/>
              <w:rPr>
                <w:rFonts w:hint="eastAsia" w:ascii="宋体" w:hAnsi="宋体" w:cs="宋体"/>
                <w:color w:val="000000"/>
                <w:sz w:val="18"/>
                <w:szCs w:val="18"/>
              </w:rPr>
            </w:pPr>
            <w:r>
              <w:rPr>
                <w:rFonts w:hint="eastAsia" w:ascii="宋体" w:hAnsi="宋体" w:cs="宋体"/>
                <w:color w:val="000000"/>
                <w:sz w:val="18"/>
                <w:szCs w:val="18"/>
                <w:highlight w:val="none"/>
              </w:rPr>
              <w:t>（</w:t>
            </w:r>
            <w:r>
              <w:rPr>
                <w:rFonts w:hint="eastAsia" w:ascii="宋体" w:hAnsi="宋体" w:cs="宋体"/>
                <w:color w:val="000000"/>
                <w:sz w:val="18"/>
                <w:szCs w:val="18"/>
                <w:highlight w:val="none"/>
                <w:lang w:val="en-US" w:eastAsia="zh-CN"/>
              </w:rPr>
              <w:t>20</w:t>
            </w:r>
            <w:r>
              <w:rPr>
                <w:rFonts w:hint="eastAsia" w:ascii="宋体" w:hAnsi="宋体" w:cs="宋体"/>
                <w:color w:val="000000"/>
                <w:sz w:val="18"/>
                <w:szCs w:val="18"/>
                <w:highlight w:val="none"/>
              </w:rPr>
              <w:t>分）</w:t>
            </w:r>
          </w:p>
        </w:tc>
        <w:tc>
          <w:tcPr>
            <w:tcW w:w="2977" w:type="dxa"/>
            <w:tcBorders>
              <w:top w:val="nil"/>
              <w:left w:val="single" w:color="000000" w:sz="4" w:space="0"/>
              <w:bottom w:val="single" w:color="000000" w:sz="4" w:space="0"/>
              <w:right w:val="single" w:color="000000" w:sz="4" w:space="0"/>
            </w:tcBorders>
            <w:noWrap w:val="0"/>
            <w:vAlign w:val="center"/>
          </w:tcPr>
          <w:p w14:paraId="44A2F2C8">
            <w:pPr>
              <w:widowControl/>
              <w:snapToGrid w:val="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根据投标人拟投入本项目的项目负责人</w:t>
            </w:r>
            <w:r>
              <w:rPr>
                <w:rFonts w:hint="eastAsia" w:ascii="宋体" w:hAnsi="宋体" w:cs="宋体"/>
                <w:color w:val="000000"/>
                <w:kern w:val="0"/>
                <w:sz w:val="18"/>
                <w:szCs w:val="18"/>
                <w:highlight w:val="none"/>
                <w:lang w:bidi="ar"/>
              </w:rPr>
              <w:t>2015年至今</w:t>
            </w:r>
            <w:r>
              <w:rPr>
                <w:rFonts w:hint="eastAsia" w:ascii="宋体" w:hAnsi="宋体" w:cs="宋体"/>
                <w:color w:val="000000"/>
                <w:kern w:val="0"/>
                <w:sz w:val="18"/>
                <w:szCs w:val="18"/>
                <w:lang w:bidi="ar"/>
              </w:rPr>
              <w:t>（以合同签订时间为准）承接的</w:t>
            </w:r>
            <w:r>
              <w:rPr>
                <w:rFonts w:hint="eastAsia" w:ascii="宋体" w:hAnsi="宋体" w:eastAsia="宋体" w:cs="宋体"/>
                <w:color w:val="000000"/>
                <w:kern w:val="0"/>
                <w:sz w:val="18"/>
                <w:szCs w:val="18"/>
                <w:lang w:val="en-US" w:eastAsia="zh-CN" w:bidi="ar"/>
              </w:rPr>
              <w:t>大型国企、汽车相关行业相关的品牌战略/策略/VI设计/传播服务项目业绩进行评价</w:t>
            </w:r>
            <w:r>
              <w:rPr>
                <w:rFonts w:hint="eastAsia" w:ascii="宋体" w:hAnsi="宋体" w:eastAsia="宋体" w:cs="宋体"/>
                <w:color w:val="000000"/>
                <w:kern w:val="0"/>
                <w:sz w:val="18"/>
                <w:szCs w:val="18"/>
                <w:lang w:bidi="ar"/>
              </w:rPr>
              <w:t>：</w:t>
            </w:r>
            <w:r>
              <w:rPr>
                <w:rFonts w:hint="eastAsia" w:ascii="宋体" w:hAnsi="宋体" w:cs="宋体"/>
                <w:color w:val="000000"/>
                <w:kern w:val="0"/>
                <w:sz w:val="18"/>
                <w:szCs w:val="18"/>
                <w:lang w:bidi="ar"/>
              </w:rPr>
              <w:t>每提供1个有效业绩得2分，满分20分。</w:t>
            </w:r>
          </w:p>
        </w:tc>
        <w:tc>
          <w:tcPr>
            <w:tcW w:w="2817" w:type="dxa"/>
            <w:tcBorders>
              <w:top w:val="nil"/>
              <w:left w:val="single" w:color="000000" w:sz="4" w:space="0"/>
              <w:bottom w:val="nil"/>
              <w:right w:val="single" w:color="000000" w:sz="8" w:space="0"/>
            </w:tcBorders>
            <w:noWrap w:val="0"/>
            <w:vAlign w:val="center"/>
          </w:tcPr>
          <w:p w14:paraId="41FD381F">
            <w:pPr>
              <w:widowControl/>
              <w:snapToGrid w:val="0"/>
              <w:jc w:val="left"/>
              <w:textAlignment w:val="center"/>
              <w:rPr>
                <w:rFonts w:hint="eastAsia" w:ascii="宋体" w:hAnsi="宋体" w:cs="宋体"/>
                <w:color w:val="000000"/>
                <w:sz w:val="18"/>
                <w:szCs w:val="16"/>
              </w:rPr>
            </w:pPr>
            <w:r>
              <w:rPr>
                <w:rFonts w:hint="eastAsia" w:ascii="宋体" w:hAnsi="宋体" w:eastAsia="宋体" w:cs="宋体"/>
                <w:color w:val="000000"/>
                <w:kern w:val="0"/>
                <w:sz w:val="18"/>
                <w:szCs w:val="18"/>
                <w:lang w:val="en-US" w:eastAsia="zh-CN" w:bidi="ar"/>
              </w:rPr>
              <w:t>投标人应提供项目负责人2015年至今签订的委托合同或年度框架合同（合作协议关键页）复印件。未提供或提供材料不完整不得分。</w:t>
            </w:r>
            <w:r>
              <w:rPr>
                <w:rFonts w:hint="eastAsia" w:ascii="宋体" w:hAnsi="宋体" w:eastAsia="宋体" w:cs="宋体"/>
                <w:color w:val="000000"/>
                <w:kern w:val="0"/>
                <w:sz w:val="18"/>
                <w:szCs w:val="18"/>
                <w:lang w:val="en-US" w:eastAsia="zh-CN" w:bidi="ar"/>
              </w:rPr>
              <w:br w:type="textWrapping"/>
            </w:r>
            <w:r>
              <w:rPr>
                <w:rFonts w:hint="eastAsia" w:ascii="宋体" w:hAnsi="宋体" w:eastAsia="宋体" w:cs="宋体"/>
                <w:color w:val="000000"/>
                <w:kern w:val="0"/>
                <w:sz w:val="18"/>
                <w:szCs w:val="18"/>
                <w:lang w:val="en-US" w:eastAsia="zh-CN" w:bidi="ar"/>
              </w:rPr>
              <w:t>备注：①委托合同或年度框架合同（合作协议）无法体现项目负责人信息的，应补充提供其他相关证明材料，如委托方证明等。</w:t>
            </w:r>
          </w:p>
        </w:tc>
      </w:tr>
      <w:tr w14:paraId="3E39B990">
        <w:tblPrEx>
          <w:tblCellMar>
            <w:top w:w="0" w:type="dxa"/>
            <w:left w:w="108" w:type="dxa"/>
            <w:bottom w:w="0" w:type="dxa"/>
            <w:right w:w="108" w:type="dxa"/>
          </w:tblCellMar>
        </w:tblPrEx>
        <w:trPr>
          <w:jc w:val="center"/>
        </w:trPr>
        <w:tc>
          <w:tcPr>
            <w:tcW w:w="417" w:type="dxa"/>
            <w:vMerge w:val="restart"/>
            <w:tcBorders>
              <w:top w:val="single" w:color="000000" w:sz="8" w:space="0"/>
              <w:left w:val="single" w:color="000000" w:sz="8" w:space="0"/>
              <w:bottom w:val="nil"/>
              <w:right w:val="single" w:color="000000" w:sz="4" w:space="0"/>
            </w:tcBorders>
            <w:noWrap w:val="0"/>
            <w:vAlign w:val="center"/>
          </w:tcPr>
          <w:p w14:paraId="03980DA4">
            <w:pPr>
              <w:widowControl/>
              <w:snapToGrid w:val="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w:t>
            </w:r>
          </w:p>
        </w:tc>
        <w:tc>
          <w:tcPr>
            <w:tcW w:w="1205" w:type="dxa"/>
            <w:vMerge w:val="continue"/>
            <w:tcBorders>
              <w:top w:val="nil"/>
              <w:left w:val="nil"/>
              <w:bottom w:val="nil"/>
              <w:right w:val="single" w:color="000000" w:sz="4" w:space="0"/>
            </w:tcBorders>
            <w:noWrap w:val="0"/>
            <w:vAlign w:val="center"/>
          </w:tcPr>
          <w:p w14:paraId="3AC74705">
            <w:pPr>
              <w:snapToGrid w:val="0"/>
              <w:jc w:val="center"/>
              <w:rPr>
                <w:rFonts w:hint="eastAsia" w:ascii="宋体" w:hAnsi="宋体" w:cs="宋体"/>
                <w:color w:val="000000"/>
                <w:sz w:val="18"/>
              </w:rPr>
            </w:pPr>
          </w:p>
        </w:tc>
        <w:tc>
          <w:tcPr>
            <w:tcW w:w="1440" w:type="dxa"/>
            <w:vMerge w:val="restart"/>
            <w:tcBorders>
              <w:top w:val="nil"/>
              <w:left w:val="single" w:color="000000" w:sz="4" w:space="0"/>
              <w:bottom w:val="nil"/>
              <w:right w:val="single" w:color="000000" w:sz="4" w:space="0"/>
            </w:tcBorders>
            <w:noWrap w:val="0"/>
            <w:vAlign w:val="center"/>
          </w:tcPr>
          <w:p w14:paraId="2B154FA2">
            <w:pPr>
              <w:widowControl/>
              <w:snapToGrid w:val="0"/>
              <w:jc w:val="center"/>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理解深度与项目思路</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（对本企业及品牌现状、需求的理解深度；项目整体思路的清晰性、前瞻性与创新性）</w:t>
            </w:r>
          </w:p>
          <w:p w14:paraId="09C4CCCB">
            <w:pPr>
              <w:widowControl/>
              <w:snapToGrid w:val="0"/>
              <w:jc w:val="center"/>
              <w:textAlignment w:val="center"/>
              <w:rPr>
                <w:rFonts w:hint="eastAsia" w:ascii="宋体" w:hAnsi="宋体" w:cs="宋体"/>
                <w:color w:val="000000"/>
                <w:sz w:val="18"/>
                <w:szCs w:val="18"/>
              </w:rPr>
            </w:pPr>
            <w:r>
              <w:rPr>
                <w:rFonts w:hint="eastAsia" w:ascii="宋体" w:hAnsi="宋体" w:cs="宋体"/>
                <w:color w:val="000000"/>
                <w:sz w:val="18"/>
                <w:szCs w:val="18"/>
                <w:highlight w:val="none"/>
              </w:rPr>
              <w:t>（</w:t>
            </w:r>
            <w:r>
              <w:rPr>
                <w:rFonts w:hint="eastAsia" w:ascii="宋体" w:hAnsi="宋体" w:cs="宋体"/>
                <w:color w:val="000000"/>
                <w:sz w:val="18"/>
                <w:szCs w:val="18"/>
                <w:highlight w:val="none"/>
                <w:lang w:val="en-US" w:eastAsia="zh-CN"/>
              </w:rPr>
              <w:t>15分</w:t>
            </w:r>
            <w:r>
              <w:rPr>
                <w:rFonts w:hint="eastAsia" w:ascii="宋体" w:hAnsi="宋体" w:cs="宋体"/>
                <w:color w:val="000000"/>
                <w:sz w:val="18"/>
                <w:szCs w:val="18"/>
                <w:highlight w:val="none"/>
              </w:rPr>
              <w:t>）</w:t>
            </w:r>
          </w:p>
        </w:tc>
        <w:tc>
          <w:tcPr>
            <w:tcW w:w="2977" w:type="dxa"/>
            <w:tcBorders>
              <w:top w:val="nil"/>
              <w:left w:val="single" w:color="000000" w:sz="4" w:space="0"/>
              <w:bottom w:val="single" w:color="000000" w:sz="4" w:space="0"/>
              <w:right w:val="single" w:color="000000" w:sz="4" w:space="0"/>
            </w:tcBorders>
            <w:noWrap w:val="0"/>
            <w:vAlign w:val="center"/>
          </w:tcPr>
          <w:p w14:paraId="20CF240A">
            <w:pPr>
              <w:widowControl/>
              <w:snapToGrid w:val="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理解极为深刻，能精准指出我方品牌深层问题与机遇。思路极具前瞻性和创新性，紧密贴合国家战略</w:t>
            </w:r>
            <w:r>
              <w:rPr>
                <w:rFonts w:hint="eastAsia" w:ascii="宋体" w:hAnsi="宋体" w:cs="宋体"/>
                <w:color w:val="000000"/>
                <w:kern w:val="0"/>
                <w:sz w:val="18"/>
                <w:szCs w:val="18"/>
                <w:highlight w:val="none"/>
                <w:lang w:bidi="ar"/>
              </w:rPr>
              <w:t>与企业实际</w:t>
            </w:r>
            <w:r>
              <w:rPr>
                <w:rFonts w:hint="eastAsia" w:ascii="宋体" w:hAnsi="宋体" w:cs="宋体"/>
                <w:color w:val="000000"/>
                <w:kern w:val="0"/>
                <w:sz w:val="18"/>
                <w:szCs w:val="18"/>
                <w:lang w:bidi="ar"/>
              </w:rPr>
              <w:t>，得15分。</w:t>
            </w:r>
          </w:p>
        </w:tc>
        <w:tc>
          <w:tcPr>
            <w:tcW w:w="2817" w:type="dxa"/>
            <w:vMerge w:val="restart"/>
            <w:tcBorders>
              <w:top w:val="single" w:color="000000" w:sz="8" w:space="0"/>
              <w:left w:val="single" w:color="000000" w:sz="4" w:space="0"/>
              <w:bottom w:val="nil"/>
              <w:right w:val="single" w:color="000000" w:sz="8" w:space="0"/>
            </w:tcBorders>
            <w:noWrap w:val="0"/>
            <w:vAlign w:val="center"/>
          </w:tcPr>
          <w:p w14:paraId="389E9C72">
            <w:pPr>
              <w:widowControl/>
              <w:snapToGrid w:val="0"/>
              <w:jc w:val="left"/>
              <w:textAlignment w:val="center"/>
              <w:rPr>
                <w:rFonts w:hint="eastAsia" w:ascii="宋体" w:hAnsi="宋体" w:cs="宋体"/>
                <w:color w:val="000000"/>
                <w:sz w:val="18"/>
                <w:szCs w:val="16"/>
              </w:rPr>
            </w:pPr>
            <w:r>
              <w:rPr>
                <w:rFonts w:hint="eastAsia" w:ascii="宋体" w:hAnsi="宋体" w:cs="宋体"/>
                <w:color w:val="000000"/>
                <w:kern w:val="0"/>
                <w:sz w:val="18"/>
                <w:szCs w:val="16"/>
                <w:lang w:bidi="ar"/>
              </w:rPr>
              <w:t>根据投标方提供的服务方案进行评审</w:t>
            </w:r>
          </w:p>
        </w:tc>
      </w:tr>
      <w:tr w14:paraId="34331124">
        <w:tblPrEx>
          <w:tblCellMar>
            <w:top w:w="0" w:type="dxa"/>
            <w:left w:w="108" w:type="dxa"/>
            <w:bottom w:w="0" w:type="dxa"/>
            <w:right w:w="108" w:type="dxa"/>
          </w:tblCellMar>
        </w:tblPrEx>
        <w:trPr>
          <w:jc w:val="center"/>
        </w:trPr>
        <w:tc>
          <w:tcPr>
            <w:tcW w:w="417" w:type="dxa"/>
            <w:vMerge w:val="continue"/>
            <w:tcBorders>
              <w:top w:val="single" w:color="000000" w:sz="8" w:space="0"/>
              <w:left w:val="single" w:color="000000" w:sz="8" w:space="0"/>
              <w:bottom w:val="nil"/>
              <w:right w:val="single" w:color="000000" w:sz="4" w:space="0"/>
            </w:tcBorders>
            <w:noWrap w:val="0"/>
            <w:vAlign w:val="center"/>
          </w:tcPr>
          <w:p w14:paraId="6CD70894">
            <w:pPr>
              <w:snapToGrid w:val="0"/>
              <w:jc w:val="center"/>
              <w:rPr>
                <w:rFonts w:hint="eastAsia" w:ascii="宋体" w:hAnsi="宋体" w:cs="宋体"/>
                <w:color w:val="000000"/>
                <w:sz w:val="18"/>
                <w:szCs w:val="18"/>
              </w:rPr>
            </w:pPr>
          </w:p>
        </w:tc>
        <w:tc>
          <w:tcPr>
            <w:tcW w:w="1205" w:type="dxa"/>
            <w:vMerge w:val="continue"/>
            <w:tcBorders>
              <w:top w:val="nil"/>
              <w:left w:val="nil"/>
              <w:bottom w:val="nil"/>
              <w:right w:val="single" w:color="000000" w:sz="4" w:space="0"/>
            </w:tcBorders>
            <w:noWrap w:val="0"/>
            <w:vAlign w:val="center"/>
          </w:tcPr>
          <w:p w14:paraId="486B34C7">
            <w:pPr>
              <w:snapToGrid w:val="0"/>
              <w:jc w:val="center"/>
              <w:rPr>
                <w:rFonts w:hint="eastAsia" w:ascii="宋体" w:hAnsi="宋体" w:cs="宋体"/>
                <w:color w:val="000000"/>
                <w:sz w:val="18"/>
              </w:rPr>
            </w:pPr>
          </w:p>
        </w:tc>
        <w:tc>
          <w:tcPr>
            <w:tcW w:w="1440" w:type="dxa"/>
            <w:vMerge w:val="continue"/>
            <w:tcBorders>
              <w:top w:val="nil"/>
              <w:left w:val="single" w:color="000000" w:sz="4" w:space="0"/>
              <w:bottom w:val="nil"/>
              <w:right w:val="single" w:color="000000" w:sz="4" w:space="0"/>
            </w:tcBorders>
            <w:noWrap w:val="0"/>
            <w:vAlign w:val="center"/>
          </w:tcPr>
          <w:p w14:paraId="610B8F50">
            <w:pPr>
              <w:snapToGrid w:val="0"/>
              <w:jc w:val="center"/>
              <w:rPr>
                <w:rFonts w:hint="eastAsia" w:ascii="宋体" w:hAnsi="宋体" w:cs="宋体"/>
                <w:color w:val="000000"/>
                <w:sz w:val="18"/>
                <w:szCs w:val="18"/>
              </w:rPr>
            </w:pPr>
          </w:p>
        </w:tc>
        <w:tc>
          <w:tcPr>
            <w:tcW w:w="2977" w:type="dxa"/>
            <w:tcBorders>
              <w:top w:val="single" w:color="000000" w:sz="4" w:space="0"/>
              <w:left w:val="single" w:color="000000" w:sz="4" w:space="0"/>
              <w:bottom w:val="single" w:color="000000" w:sz="4" w:space="0"/>
              <w:right w:val="single" w:color="000000" w:sz="4" w:space="0"/>
            </w:tcBorders>
            <w:noWrap w:val="0"/>
            <w:vAlign w:val="center"/>
          </w:tcPr>
          <w:p w14:paraId="3AECF052">
            <w:pPr>
              <w:widowControl/>
              <w:snapToGrid w:val="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理解比较深刻，能抓住主要问题。思路清晰，有一定创新性，与企业发展结合较好，得10分。</w:t>
            </w:r>
          </w:p>
        </w:tc>
        <w:tc>
          <w:tcPr>
            <w:tcW w:w="2817" w:type="dxa"/>
            <w:vMerge w:val="continue"/>
            <w:tcBorders>
              <w:top w:val="single" w:color="000000" w:sz="8" w:space="0"/>
              <w:left w:val="single" w:color="000000" w:sz="4" w:space="0"/>
              <w:bottom w:val="nil"/>
              <w:right w:val="single" w:color="000000" w:sz="8" w:space="0"/>
            </w:tcBorders>
            <w:noWrap w:val="0"/>
            <w:vAlign w:val="center"/>
          </w:tcPr>
          <w:p w14:paraId="117E229C">
            <w:pPr>
              <w:snapToGrid w:val="0"/>
              <w:jc w:val="left"/>
              <w:rPr>
                <w:rFonts w:hint="eastAsia" w:ascii="宋体" w:hAnsi="宋体" w:cs="宋体"/>
                <w:color w:val="000000"/>
                <w:sz w:val="18"/>
                <w:szCs w:val="16"/>
              </w:rPr>
            </w:pPr>
          </w:p>
        </w:tc>
      </w:tr>
      <w:tr w14:paraId="433B0803">
        <w:tblPrEx>
          <w:tblCellMar>
            <w:top w:w="0" w:type="dxa"/>
            <w:left w:w="108" w:type="dxa"/>
            <w:bottom w:w="0" w:type="dxa"/>
            <w:right w:w="108" w:type="dxa"/>
          </w:tblCellMar>
        </w:tblPrEx>
        <w:trPr>
          <w:jc w:val="center"/>
        </w:trPr>
        <w:tc>
          <w:tcPr>
            <w:tcW w:w="417" w:type="dxa"/>
            <w:vMerge w:val="continue"/>
            <w:tcBorders>
              <w:top w:val="single" w:color="000000" w:sz="8" w:space="0"/>
              <w:left w:val="single" w:color="000000" w:sz="8" w:space="0"/>
              <w:bottom w:val="nil"/>
              <w:right w:val="single" w:color="000000" w:sz="4" w:space="0"/>
            </w:tcBorders>
            <w:noWrap w:val="0"/>
            <w:vAlign w:val="center"/>
          </w:tcPr>
          <w:p w14:paraId="0DD3EFFF">
            <w:pPr>
              <w:snapToGrid w:val="0"/>
              <w:jc w:val="center"/>
              <w:rPr>
                <w:rFonts w:hint="eastAsia" w:ascii="宋体" w:hAnsi="宋体" w:cs="宋体"/>
                <w:color w:val="000000"/>
                <w:sz w:val="18"/>
                <w:szCs w:val="18"/>
              </w:rPr>
            </w:pPr>
          </w:p>
        </w:tc>
        <w:tc>
          <w:tcPr>
            <w:tcW w:w="1205" w:type="dxa"/>
            <w:vMerge w:val="continue"/>
            <w:tcBorders>
              <w:top w:val="nil"/>
              <w:left w:val="nil"/>
              <w:bottom w:val="nil"/>
              <w:right w:val="single" w:color="000000" w:sz="4" w:space="0"/>
            </w:tcBorders>
            <w:noWrap w:val="0"/>
            <w:vAlign w:val="center"/>
          </w:tcPr>
          <w:p w14:paraId="7FB876D0">
            <w:pPr>
              <w:snapToGrid w:val="0"/>
              <w:jc w:val="center"/>
              <w:rPr>
                <w:rFonts w:hint="eastAsia" w:ascii="宋体" w:hAnsi="宋体" w:cs="宋体"/>
                <w:color w:val="000000"/>
                <w:sz w:val="18"/>
              </w:rPr>
            </w:pPr>
          </w:p>
        </w:tc>
        <w:tc>
          <w:tcPr>
            <w:tcW w:w="1440" w:type="dxa"/>
            <w:vMerge w:val="continue"/>
            <w:tcBorders>
              <w:top w:val="nil"/>
              <w:left w:val="single" w:color="000000" w:sz="4" w:space="0"/>
              <w:bottom w:val="nil"/>
              <w:right w:val="single" w:color="000000" w:sz="4" w:space="0"/>
            </w:tcBorders>
            <w:noWrap w:val="0"/>
            <w:vAlign w:val="center"/>
          </w:tcPr>
          <w:p w14:paraId="657F17EF">
            <w:pPr>
              <w:snapToGrid w:val="0"/>
              <w:jc w:val="center"/>
              <w:rPr>
                <w:rFonts w:hint="eastAsia" w:ascii="宋体" w:hAnsi="宋体" w:cs="宋体"/>
                <w:color w:val="000000"/>
                <w:sz w:val="18"/>
                <w:szCs w:val="18"/>
              </w:rPr>
            </w:pPr>
          </w:p>
        </w:tc>
        <w:tc>
          <w:tcPr>
            <w:tcW w:w="2977" w:type="dxa"/>
            <w:tcBorders>
              <w:top w:val="single" w:color="000000" w:sz="4" w:space="0"/>
              <w:left w:val="single" w:color="000000" w:sz="4" w:space="0"/>
              <w:bottom w:val="single" w:color="000000" w:sz="8" w:space="0"/>
              <w:right w:val="single" w:color="000000" w:sz="4" w:space="0"/>
            </w:tcBorders>
            <w:noWrap w:val="0"/>
            <w:vAlign w:val="center"/>
          </w:tcPr>
          <w:p w14:paraId="1574CB62">
            <w:pPr>
              <w:widowControl/>
              <w:snapToGrid w:val="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理解基本准确，但分析较为表面。思路较为常规，创新性不足，得8分。</w:t>
            </w:r>
          </w:p>
        </w:tc>
        <w:tc>
          <w:tcPr>
            <w:tcW w:w="2817" w:type="dxa"/>
            <w:vMerge w:val="continue"/>
            <w:tcBorders>
              <w:top w:val="single" w:color="000000" w:sz="8" w:space="0"/>
              <w:left w:val="single" w:color="000000" w:sz="4" w:space="0"/>
              <w:bottom w:val="nil"/>
              <w:right w:val="single" w:color="000000" w:sz="8" w:space="0"/>
            </w:tcBorders>
            <w:noWrap w:val="0"/>
            <w:vAlign w:val="center"/>
          </w:tcPr>
          <w:p w14:paraId="786F7BB7">
            <w:pPr>
              <w:snapToGrid w:val="0"/>
              <w:jc w:val="left"/>
              <w:rPr>
                <w:rFonts w:hint="eastAsia" w:ascii="宋体" w:hAnsi="宋体" w:cs="宋体"/>
                <w:color w:val="000000"/>
                <w:sz w:val="18"/>
                <w:szCs w:val="16"/>
              </w:rPr>
            </w:pPr>
          </w:p>
        </w:tc>
      </w:tr>
      <w:tr w14:paraId="190F6C13">
        <w:tblPrEx>
          <w:tblCellMar>
            <w:top w:w="0" w:type="dxa"/>
            <w:left w:w="108" w:type="dxa"/>
            <w:bottom w:w="0" w:type="dxa"/>
            <w:right w:w="108" w:type="dxa"/>
          </w:tblCellMar>
        </w:tblPrEx>
        <w:trPr>
          <w:jc w:val="center"/>
        </w:trPr>
        <w:tc>
          <w:tcPr>
            <w:tcW w:w="417" w:type="dxa"/>
            <w:vMerge w:val="continue"/>
            <w:tcBorders>
              <w:top w:val="single" w:color="000000" w:sz="8" w:space="0"/>
              <w:left w:val="single" w:color="000000" w:sz="8" w:space="0"/>
              <w:bottom w:val="nil"/>
              <w:right w:val="single" w:color="000000" w:sz="4" w:space="0"/>
            </w:tcBorders>
            <w:noWrap w:val="0"/>
            <w:vAlign w:val="center"/>
          </w:tcPr>
          <w:p w14:paraId="1A9D406B">
            <w:pPr>
              <w:snapToGrid w:val="0"/>
              <w:jc w:val="center"/>
              <w:rPr>
                <w:rFonts w:hint="eastAsia" w:ascii="宋体" w:hAnsi="宋体" w:cs="宋体"/>
                <w:color w:val="000000"/>
                <w:sz w:val="18"/>
                <w:szCs w:val="18"/>
              </w:rPr>
            </w:pPr>
          </w:p>
        </w:tc>
        <w:tc>
          <w:tcPr>
            <w:tcW w:w="1205" w:type="dxa"/>
            <w:vMerge w:val="continue"/>
            <w:tcBorders>
              <w:top w:val="nil"/>
              <w:left w:val="nil"/>
              <w:bottom w:val="nil"/>
              <w:right w:val="single" w:color="000000" w:sz="4" w:space="0"/>
            </w:tcBorders>
            <w:noWrap w:val="0"/>
            <w:vAlign w:val="center"/>
          </w:tcPr>
          <w:p w14:paraId="43821FF5">
            <w:pPr>
              <w:snapToGrid w:val="0"/>
              <w:jc w:val="center"/>
              <w:rPr>
                <w:rFonts w:hint="eastAsia" w:ascii="宋体" w:hAnsi="宋体" w:cs="宋体"/>
                <w:color w:val="000000"/>
                <w:sz w:val="18"/>
              </w:rPr>
            </w:pPr>
          </w:p>
        </w:tc>
        <w:tc>
          <w:tcPr>
            <w:tcW w:w="1440" w:type="dxa"/>
            <w:vMerge w:val="continue"/>
            <w:tcBorders>
              <w:top w:val="nil"/>
              <w:left w:val="single" w:color="000000" w:sz="4" w:space="0"/>
              <w:bottom w:val="nil"/>
              <w:right w:val="single" w:color="000000" w:sz="4" w:space="0"/>
            </w:tcBorders>
            <w:noWrap w:val="0"/>
            <w:vAlign w:val="center"/>
          </w:tcPr>
          <w:p w14:paraId="4C46955D">
            <w:pPr>
              <w:snapToGrid w:val="0"/>
              <w:jc w:val="center"/>
              <w:rPr>
                <w:rFonts w:hint="eastAsia" w:ascii="宋体" w:hAnsi="宋体" w:cs="宋体"/>
                <w:color w:val="000000"/>
                <w:sz w:val="18"/>
                <w:szCs w:val="18"/>
              </w:rPr>
            </w:pPr>
          </w:p>
        </w:tc>
        <w:tc>
          <w:tcPr>
            <w:tcW w:w="2977" w:type="dxa"/>
            <w:tcBorders>
              <w:top w:val="nil"/>
              <w:left w:val="single" w:color="000000" w:sz="4" w:space="0"/>
              <w:bottom w:val="nil"/>
              <w:right w:val="single" w:color="000000" w:sz="4" w:space="0"/>
            </w:tcBorders>
            <w:noWrap w:val="0"/>
            <w:vAlign w:val="center"/>
          </w:tcPr>
          <w:p w14:paraId="2BA84236">
            <w:pPr>
              <w:widowControl/>
              <w:snapToGrid w:val="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理解存在偏差或肤浅，思路模糊、陈旧，与企业实际脱节，得4分。</w:t>
            </w:r>
          </w:p>
        </w:tc>
        <w:tc>
          <w:tcPr>
            <w:tcW w:w="2817" w:type="dxa"/>
            <w:vMerge w:val="continue"/>
            <w:tcBorders>
              <w:top w:val="single" w:color="000000" w:sz="8" w:space="0"/>
              <w:left w:val="single" w:color="000000" w:sz="4" w:space="0"/>
              <w:bottom w:val="nil"/>
              <w:right w:val="single" w:color="000000" w:sz="8" w:space="0"/>
            </w:tcBorders>
            <w:noWrap w:val="0"/>
            <w:vAlign w:val="center"/>
          </w:tcPr>
          <w:p w14:paraId="2044F589">
            <w:pPr>
              <w:snapToGrid w:val="0"/>
              <w:jc w:val="left"/>
              <w:rPr>
                <w:rFonts w:hint="eastAsia" w:ascii="宋体" w:hAnsi="宋体" w:cs="宋体"/>
                <w:color w:val="000000"/>
                <w:sz w:val="18"/>
                <w:szCs w:val="16"/>
              </w:rPr>
            </w:pPr>
          </w:p>
        </w:tc>
      </w:tr>
      <w:tr w14:paraId="5C927DEA">
        <w:tblPrEx>
          <w:tblCellMar>
            <w:top w:w="0" w:type="dxa"/>
            <w:left w:w="108" w:type="dxa"/>
            <w:bottom w:w="0" w:type="dxa"/>
            <w:right w:w="108" w:type="dxa"/>
          </w:tblCellMar>
        </w:tblPrEx>
        <w:trPr>
          <w:jc w:val="center"/>
        </w:trPr>
        <w:tc>
          <w:tcPr>
            <w:tcW w:w="417" w:type="dxa"/>
            <w:vMerge w:val="restart"/>
            <w:tcBorders>
              <w:top w:val="single" w:color="000000" w:sz="8" w:space="0"/>
              <w:left w:val="single" w:color="000000" w:sz="8" w:space="0"/>
              <w:bottom w:val="nil"/>
              <w:right w:val="single" w:color="000000" w:sz="4" w:space="0"/>
            </w:tcBorders>
            <w:noWrap w:val="0"/>
            <w:vAlign w:val="center"/>
          </w:tcPr>
          <w:p w14:paraId="09C20F40">
            <w:pPr>
              <w:widowControl/>
              <w:snapToGrid w:val="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w:t>
            </w:r>
          </w:p>
        </w:tc>
        <w:tc>
          <w:tcPr>
            <w:tcW w:w="1205" w:type="dxa"/>
            <w:vMerge w:val="continue"/>
            <w:tcBorders>
              <w:top w:val="nil"/>
              <w:left w:val="nil"/>
              <w:bottom w:val="nil"/>
              <w:right w:val="single" w:color="000000" w:sz="4" w:space="0"/>
            </w:tcBorders>
            <w:noWrap w:val="0"/>
            <w:vAlign w:val="center"/>
          </w:tcPr>
          <w:p w14:paraId="091709A6">
            <w:pPr>
              <w:snapToGrid w:val="0"/>
              <w:jc w:val="center"/>
              <w:rPr>
                <w:rFonts w:hint="eastAsia" w:ascii="宋体" w:hAnsi="宋体" w:cs="宋体"/>
                <w:color w:val="000000"/>
                <w:sz w:val="18"/>
              </w:rPr>
            </w:pPr>
          </w:p>
        </w:tc>
        <w:tc>
          <w:tcPr>
            <w:tcW w:w="1440" w:type="dxa"/>
            <w:vMerge w:val="restart"/>
            <w:tcBorders>
              <w:top w:val="single" w:color="000000" w:sz="8" w:space="0"/>
              <w:left w:val="single" w:color="000000" w:sz="4" w:space="0"/>
              <w:bottom w:val="nil"/>
              <w:right w:val="single" w:color="000000" w:sz="4" w:space="0"/>
            </w:tcBorders>
            <w:noWrap w:val="0"/>
            <w:vAlign w:val="center"/>
          </w:tcPr>
          <w:p w14:paraId="50D77EC2">
            <w:pPr>
              <w:widowControl/>
              <w:snapToGrid w:val="0"/>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方法论与工作方案</w:t>
            </w:r>
          </w:p>
          <w:p w14:paraId="33987437">
            <w:pPr>
              <w:widowControl/>
              <w:snapToGrid w:val="0"/>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（研究方法的科学性、系统性；工作计划的合理性、可行性；项目里程碑与交付物的明确性）</w:t>
            </w:r>
          </w:p>
          <w:p w14:paraId="57440A71">
            <w:pPr>
              <w:widowControl/>
              <w:snapToGrid w:val="0"/>
              <w:jc w:val="center"/>
              <w:textAlignment w:val="center"/>
              <w:rPr>
                <w:rFonts w:hint="eastAsia" w:ascii="宋体" w:hAnsi="宋体" w:cs="宋体"/>
                <w:color w:val="000000"/>
                <w:sz w:val="18"/>
                <w:szCs w:val="18"/>
              </w:rPr>
            </w:pPr>
            <w:r>
              <w:rPr>
                <w:rFonts w:hint="eastAsia" w:ascii="宋体" w:hAnsi="宋体" w:cs="宋体"/>
                <w:color w:val="000000"/>
                <w:sz w:val="18"/>
                <w:szCs w:val="18"/>
                <w:highlight w:val="none"/>
              </w:rPr>
              <w:t>（</w:t>
            </w:r>
            <w:r>
              <w:rPr>
                <w:rFonts w:hint="eastAsia" w:ascii="宋体" w:hAnsi="宋体" w:cs="宋体"/>
                <w:color w:val="000000"/>
                <w:sz w:val="18"/>
                <w:szCs w:val="18"/>
                <w:highlight w:val="none"/>
                <w:lang w:val="en-US" w:eastAsia="zh-CN"/>
              </w:rPr>
              <w:t>15</w:t>
            </w:r>
            <w:r>
              <w:rPr>
                <w:rFonts w:hint="eastAsia" w:ascii="宋体" w:hAnsi="宋体" w:cs="宋体"/>
                <w:color w:val="000000"/>
                <w:sz w:val="18"/>
                <w:szCs w:val="18"/>
                <w:highlight w:val="none"/>
              </w:rPr>
              <w:t>分）</w:t>
            </w:r>
          </w:p>
        </w:tc>
        <w:tc>
          <w:tcPr>
            <w:tcW w:w="2977" w:type="dxa"/>
            <w:tcBorders>
              <w:top w:val="single" w:color="000000" w:sz="4" w:space="0"/>
              <w:left w:val="single" w:color="000000" w:sz="4" w:space="0"/>
              <w:bottom w:val="single" w:color="000000" w:sz="4" w:space="0"/>
              <w:right w:val="single" w:color="000000" w:sz="4" w:space="0"/>
            </w:tcBorders>
            <w:noWrap w:val="0"/>
            <w:vAlign w:val="center"/>
          </w:tcPr>
          <w:p w14:paraId="3EAE3D51">
            <w:pPr>
              <w:widowControl/>
              <w:snapToGrid w:val="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方法论国际领先且完全定制化，工作计划详尽周密，风险预判充分，里程碑设置科学，交付物价值极高，得15分。</w:t>
            </w:r>
          </w:p>
        </w:tc>
        <w:tc>
          <w:tcPr>
            <w:tcW w:w="2817" w:type="dxa"/>
            <w:vMerge w:val="restart"/>
            <w:tcBorders>
              <w:top w:val="single" w:color="000000" w:sz="8" w:space="0"/>
              <w:left w:val="single" w:color="000000" w:sz="4" w:space="0"/>
              <w:bottom w:val="nil"/>
              <w:right w:val="single" w:color="000000" w:sz="8" w:space="0"/>
            </w:tcBorders>
            <w:noWrap w:val="0"/>
            <w:vAlign w:val="center"/>
          </w:tcPr>
          <w:p w14:paraId="1B402C59">
            <w:pPr>
              <w:widowControl/>
              <w:snapToGrid w:val="0"/>
              <w:jc w:val="left"/>
              <w:textAlignment w:val="center"/>
              <w:rPr>
                <w:rFonts w:hint="eastAsia" w:ascii="宋体" w:hAnsi="宋体" w:cs="宋体"/>
                <w:color w:val="000000"/>
                <w:sz w:val="18"/>
                <w:szCs w:val="16"/>
              </w:rPr>
            </w:pPr>
            <w:r>
              <w:rPr>
                <w:rFonts w:hint="eastAsia" w:ascii="宋体" w:hAnsi="宋体" w:cs="宋体"/>
                <w:color w:val="000000"/>
                <w:kern w:val="0"/>
                <w:sz w:val="18"/>
                <w:szCs w:val="16"/>
                <w:lang w:bidi="ar"/>
              </w:rPr>
              <w:t>根据投标方提供的服务方案进行评审</w:t>
            </w:r>
          </w:p>
        </w:tc>
      </w:tr>
      <w:tr w14:paraId="016B65FC">
        <w:tblPrEx>
          <w:tblCellMar>
            <w:top w:w="0" w:type="dxa"/>
            <w:left w:w="108" w:type="dxa"/>
            <w:bottom w:w="0" w:type="dxa"/>
            <w:right w:w="108" w:type="dxa"/>
          </w:tblCellMar>
        </w:tblPrEx>
        <w:trPr>
          <w:jc w:val="center"/>
        </w:trPr>
        <w:tc>
          <w:tcPr>
            <w:tcW w:w="417" w:type="dxa"/>
            <w:vMerge w:val="continue"/>
            <w:tcBorders>
              <w:top w:val="single" w:color="000000" w:sz="8" w:space="0"/>
              <w:left w:val="single" w:color="000000" w:sz="8" w:space="0"/>
              <w:bottom w:val="nil"/>
              <w:right w:val="single" w:color="000000" w:sz="4" w:space="0"/>
            </w:tcBorders>
            <w:noWrap w:val="0"/>
            <w:vAlign w:val="center"/>
          </w:tcPr>
          <w:p w14:paraId="07305B06">
            <w:pPr>
              <w:snapToGrid w:val="0"/>
              <w:jc w:val="center"/>
              <w:rPr>
                <w:rFonts w:hint="eastAsia" w:ascii="宋体" w:hAnsi="宋体" w:cs="宋体"/>
                <w:color w:val="000000"/>
                <w:sz w:val="18"/>
                <w:szCs w:val="18"/>
              </w:rPr>
            </w:pPr>
          </w:p>
        </w:tc>
        <w:tc>
          <w:tcPr>
            <w:tcW w:w="1205" w:type="dxa"/>
            <w:vMerge w:val="continue"/>
            <w:tcBorders>
              <w:top w:val="nil"/>
              <w:left w:val="nil"/>
              <w:bottom w:val="nil"/>
              <w:right w:val="single" w:color="000000" w:sz="4" w:space="0"/>
            </w:tcBorders>
            <w:noWrap w:val="0"/>
            <w:vAlign w:val="center"/>
          </w:tcPr>
          <w:p w14:paraId="74A7BF30">
            <w:pPr>
              <w:snapToGrid w:val="0"/>
              <w:jc w:val="center"/>
              <w:rPr>
                <w:rFonts w:hint="eastAsia" w:ascii="宋体" w:hAnsi="宋体" w:cs="宋体"/>
                <w:color w:val="000000"/>
                <w:sz w:val="18"/>
              </w:rPr>
            </w:pPr>
          </w:p>
        </w:tc>
        <w:tc>
          <w:tcPr>
            <w:tcW w:w="1440" w:type="dxa"/>
            <w:vMerge w:val="continue"/>
            <w:tcBorders>
              <w:top w:val="single" w:color="000000" w:sz="8" w:space="0"/>
              <w:left w:val="single" w:color="000000" w:sz="4" w:space="0"/>
              <w:bottom w:val="nil"/>
              <w:right w:val="single" w:color="000000" w:sz="4" w:space="0"/>
            </w:tcBorders>
            <w:noWrap w:val="0"/>
            <w:vAlign w:val="center"/>
          </w:tcPr>
          <w:p w14:paraId="22178AC5">
            <w:pPr>
              <w:snapToGrid w:val="0"/>
              <w:jc w:val="center"/>
              <w:rPr>
                <w:rFonts w:hint="eastAsia" w:ascii="宋体" w:hAnsi="宋体" w:cs="宋体"/>
                <w:color w:val="000000"/>
                <w:sz w:val="18"/>
                <w:szCs w:val="18"/>
              </w:rPr>
            </w:pPr>
          </w:p>
        </w:tc>
        <w:tc>
          <w:tcPr>
            <w:tcW w:w="2977" w:type="dxa"/>
            <w:tcBorders>
              <w:top w:val="single" w:color="000000" w:sz="4" w:space="0"/>
              <w:left w:val="single" w:color="000000" w:sz="4" w:space="0"/>
              <w:bottom w:val="single" w:color="000000" w:sz="4" w:space="0"/>
              <w:right w:val="single" w:color="000000" w:sz="4" w:space="0"/>
            </w:tcBorders>
            <w:noWrap w:val="0"/>
            <w:vAlign w:val="center"/>
          </w:tcPr>
          <w:p w14:paraId="6C937300">
            <w:pPr>
              <w:widowControl/>
              <w:snapToGrid w:val="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方法论成熟系统，工作计划合理可行，能覆盖主要需求，里程碑和交付物明确，得10分。</w:t>
            </w:r>
          </w:p>
        </w:tc>
        <w:tc>
          <w:tcPr>
            <w:tcW w:w="2817" w:type="dxa"/>
            <w:vMerge w:val="continue"/>
            <w:tcBorders>
              <w:top w:val="single" w:color="000000" w:sz="8" w:space="0"/>
              <w:left w:val="single" w:color="000000" w:sz="4" w:space="0"/>
              <w:bottom w:val="nil"/>
              <w:right w:val="single" w:color="000000" w:sz="8" w:space="0"/>
            </w:tcBorders>
            <w:noWrap w:val="0"/>
            <w:vAlign w:val="center"/>
          </w:tcPr>
          <w:p w14:paraId="57089A7A">
            <w:pPr>
              <w:snapToGrid w:val="0"/>
              <w:jc w:val="left"/>
              <w:rPr>
                <w:rFonts w:hint="eastAsia" w:ascii="宋体" w:hAnsi="宋体" w:cs="宋体"/>
                <w:color w:val="000000"/>
                <w:sz w:val="18"/>
                <w:szCs w:val="16"/>
              </w:rPr>
            </w:pPr>
          </w:p>
        </w:tc>
      </w:tr>
      <w:tr w14:paraId="79348AEA">
        <w:tblPrEx>
          <w:tblCellMar>
            <w:top w:w="0" w:type="dxa"/>
            <w:left w:w="108" w:type="dxa"/>
            <w:bottom w:w="0" w:type="dxa"/>
            <w:right w:w="108" w:type="dxa"/>
          </w:tblCellMar>
        </w:tblPrEx>
        <w:trPr>
          <w:jc w:val="center"/>
        </w:trPr>
        <w:tc>
          <w:tcPr>
            <w:tcW w:w="417" w:type="dxa"/>
            <w:vMerge w:val="continue"/>
            <w:tcBorders>
              <w:top w:val="single" w:color="000000" w:sz="8" w:space="0"/>
              <w:left w:val="single" w:color="000000" w:sz="8" w:space="0"/>
              <w:bottom w:val="single" w:color="auto" w:sz="4" w:space="0"/>
              <w:right w:val="single" w:color="000000" w:sz="4" w:space="0"/>
            </w:tcBorders>
            <w:noWrap w:val="0"/>
            <w:vAlign w:val="center"/>
          </w:tcPr>
          <w:p w14:paraId="30B2E323">
            <w:pPr>
              <w:snapToGrid w:val="0"/>
              <w:jc w:val="center"/>
              <w:rPr>
                <w:rFonts w:hint="eastAsia" w:ascii="宋体" w:hAnsi="宋体" w:cs="宋体"/>
                <w:color w:val="000000"/>
                <w:sz w:val="18"/>
                <w:szCs w:val="18"/>
              </w:rPr>
            </w:pPr>
          </w:p>
        </w:tc>
        <w:tc>
          <w:tcPr>
            <w:tcW w:w="1205" w:type="dxa"/>
            <w:vMerge w:val="continue"/>
            <w:tcBorders>
              <w:top w:val="nil"/>
              <w:left w:val="nil"/>
              <w:bottom w:val="single" w:color="auto" w:sz="4" w:space="0"/>
              <w:right w:val="single" w:color="000000" w:sz="4" w:space="0"/>
            </w:tcBorders>
            <w:noWrap w:val="0"/>
            <w:vAlign w:val="center"/>
          </w:tcPr>
          <w:p w14:paraId="4E9A5AC6">
            <w:pPr>
              <w:snapToGrid w:val="0"/>
              <w:jc w:val="center"/>
              <w:rPr>
                <w:rFonts w:hint="eastAsia" w:ascii="宋体" w:hAnsi="宋体" w:cs="宋体"/>
                <w:color w:val="000000"/>
                <w:sz w:val="18"/>
              </w:rPr>
            </w:pPr>
          </w:p>
        </w:tc>
        <w:tc>
          <w:tcPr>
            <w:tcW w:w="1440" w:type="dxa"/>
            <w:vMerge w:val="continue"/>
            <w:tcBorders>
              <w:top w:val="single" w:color="000000" w:sz="8" w:space="0"/>
              <w:left w:val="single" w:color="000000" w:sz="4" w:space="0"/>
              <w:bottom w:val="single" w:color="auto" w:sz="4" w:space="0"/>
              <w:right w:val="single" w:color="000000" w:sz="4" w:space="0"/>
            </w:tcBorders>
            <w:noWrap w:val="0"/>
            <w:vAlign w:val="center"/>
          </w:tcPr>
          <w:p w14:paraId="2E99DB3C">
            <w:pPr>
              <w:snapToGrid w:val="0"/>
              <w:jc w:val="center"/>
              <w:rPr>
                <w:rFonts w:hint="eastAsia" w:ascii="宋体" w:hAnsi="宋体" w:cs="宋体"/>
                <w:color w:val="000000"/>
                <w:sz w:val="18"/>
                <w:szCs w:val="18"/>
              </w:rPr>
            </w:pPr>
          </w:p>
        </w:tc>
        <w:tc>
          <w:tcPr>
            <w:tcW w:w="2977" w:type="dxa"/>
            <w:tcBorders>
              <w:top w:val="single" w:color="000000" w:sz="4" w:space="0"/>
              <w:left w:val="single" w:color="000000" w:sz="4" w:space="0"/>
              <w:bottom w:val="single" w:color="000000" w:sz="4" w:space="0"/>
              <w:right w:val="single" w:color="000000" w:sz="4" w:space="0"/>
            </w:tcBorders>
            <w:noWrap w:val="0"/>
            <w:vAlign w:val="center"/>
          </w:tcPr>
          <w:p w14:paraId="7B846CD4">
            <w:pPr>
              <w:widowControl/>
              <w:snapToGrid w:val="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方法论较为常规，工作计划有基本框架，但部分细节缺失，交付物标准一般，得8分。</w:t>
            </w:r>
          </w:p>
        </w:tc>
        <w:tc>
          <w:tcPr>
            <w:tcW w:w="2817" w:type="dxa"/>
            <w:vMerge w:val="continue"/>
            <w:tcBorders>
              <w:top w:val="single" w:color="000000" w:sz="8" w:space="0"/>
              <w:left w:val="single" w:color="000000" w:sz="4" w:space="0"/>
              <w:bottom w:val="nil"/>
              <w:right w:val="single" w:color="000000" w:sz="8" w:space="0"/>
            </w:tcBorders>
            <w:noWrap w:val="0"/>
            <w:vAlign w:val="center"/>
          </w:tcPr>
          <w:p w14:paraId="56E6E2C0">
            <w:pPr>
              <w:snapToGrid w:val="0"/>
              <w:jc w:val="left"/>
              <w:rPr>
                <w:rFonts w:hint="eastAsia" w:ascii="宋体" w:hAnsi="宋体" w:cs="宋体"/>
                <w:color w:val="000000"/>
                <w:sz w:val="18"/>
                <w:szCs w:val="16"/>
              </w:rPr>
            </w:pPr>
          </w:p>
        </w:tc>
      </w:tr>
      <w:tr w14:paraId="073EAC65">
        <w:tblPrEx>
          <w:tblCellMar>
            <w:top w:w="0" w:type="dxa"/>
            <w:left w:w="108" w:type="dxa"/>
            <w:bottom w:w="0" w:type="dxa"/>
            <w:right w:w="108" w:type="dxa"/>
          </w:tblCellMar>
        </w:tblPrEx>
        <w:trPr>
          <w:jc w:val="center"/>
        </w:trPr>
        <w:tc>
          <w:tcPr>
            <w:tcW w:w="417" w:type="dxa"/>
            <w:vMerge w:val="continue"/>
            <w:tcBorders>
              <w:top w:val="single" w:color="auto" w:sz="4" w:space="0"/>
              <w:left w:val="single" w:color="000000" w:sz="8" w:space="0"/>
              <w:bottom w:val="single" w:color="auto" w:sz="4" w:space="0"/>
              <w:right w:val="single" w:color="000000" w:sz="4" w:space="0"/>
            </w:tcBorders>
            <w:noWrap w:val="0"/>
            <w:vAlign w:val="center"/>
          </w:tcPr>
          <w:p w14:paraId="29BABB0A">
            <w:pPr>
              <w:snapToGrid w:val="0"/>
              <w:jc w:val="center"/>
              <w:rPr>
                <w:rFonts w:hint="eastAsia" w:ascii="宋体" w:hAnsi="宋体" w:cs="宋体"/>
                <w:color w:val="000000"/>
                <w:sz w:val="18"/>
                <w:szCs w:val="18"/>
              </w:rPr>
            </w:pPr>
          </w:p>
        </w:tc>
        <w:tc>
          <w:tcPr>
            <w:tcW w:w="1205" w:type="dxa"/>
            <w:vMerge w:val="continue"/>
            <w:tcBorders>
              <w:top w:val="single" w:color="auto" w:sz="4" w:space="0"/>
              <w:left w:val="nil"/>
              <w:bottom w:val="single" w:color="auto" w:sz="4" w:space="0"/>
              <w:right w:val="single" w:color="000000" w:sz="4" w:space="0"/>
            </w:tcBorders>
            <w:noWrap w:val="0"/>
            <w:vAlign w:val="center"/>
          </w:tcPr>
          <w:p w14:paraId="16EC8C9F">
            <w:pPr>
              <w:snapToGrid w:val="0"/>
              <w:jc w:val="center"/>
              <w:rPr>
                <w:rFonts w:hint="eastAsia" w:ascii="宋体" w:hAnsi="宋体" w:cs="宋体"/>
                <w:color w:val="000000"/>
                <w:sz w:val="18"/>
              </w:rPr>
            </w:pPr>
          </w:p>
        </w:tc>
        <w:tc>
          <w:tcPr>
            <w:tcW w:w="1440" w:type="dxa"/>
            <w:vMerge w:val="continue"/>
            <w:tcBorders>
              <w:top w:val="single" w:color="auto" w:sz="4" w:space="0"/>
              <w:left w:val="single" w:color="000000" w:sz="4" w:space="0"/>
              <w:bottom w:val="single" w:color="auto" w:sz="4" w:space="0"/>
              <w:right w:val="single" w:color="000000" w:sz="4" w:space="0"/>
            </w:tcBorders>
            <w:noWrap w:val="0"/>
            <w:vAlign w:val="center"/>
          </w:tcPr>
          <w:p w14:paraId="466FEFA7">
            <w:pPr>
              <w:snapToGrid w:val="0"/>
              <w:jc w:val="center"/>
              <w:rPr>
                <w:rFonts w:hint="eastAsia" w:ascii="宋体" w:hAnsi="宋体" w:cs="宋体"/>
                <w:color w:val="000000"/>
                <w:sz w:val="18"/>
                <w:szCs w:val="18"/>
              </w:rPr>
            </w:pPr>
          </w:p>
        </w:tc>
        <w:tc>
          <w:tcPr>
            <w:tcW w:w="2977" w:type="dxa"/>
            <w:tcBorders>
              <w:top w:val="single" w:color="000000" w:sz="4" w:space="0"/>
              <w:left w:val="single" w:color="000000" w:sz="4" w:space="0"/>
              <w:bottom w:val="single" w:color="auto" w:sz="4" w:space="0"/>
              <w:right w:val="single" w:color="000000" w:sz="4" w:space="0"/>
            </w:tcBorders>
            <w:noWrap w:val="0"/>
            <w:vAlign w:val="center"/>
          </w:tcPr>
          <w:p w14:paraId="007E430A">
            <w:pPr>
              <w:widowControl/>
              <w:snapToGrid w:val="0"/>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方法论描述模糊或照搬模板，计划混乱或不切实际，交付物不明确，得4分。</w:t>
            </w:r>
          </w:p>
        </w:tc>
        <w:tc>
          <w:tcPr>
            <w:tcW w:w="2817" w:type="dxa"/>
            <w:vMerge w:val="continue"/>
            <w:tcBorders>
              <w:top w:val="single" w:color="000000" w:sz="8" w:space="0"/>
              <w:left w:val="single" w:color="000000" w:sz="4" w:space="0"/>
              <w:bottom w:val="single" w:color="auto" w:sz="4" w:space="0"/>
              <w:right w:val="single" w:color="000000" w:sz="8" w:space="0"/>
            </w:tcBorders>
            <w:noWrap w:val="0"/>
            <w:vAlign w:val="center"/>
          </w:tcPr>
          <w:p w14:paraId="6045DC0C">
            <w:pPr>
              <w:snapToGrid w:val="0"/>
              <w:jc w:val="left"/>
              <w:rPr>
                <w:rFonts w:hint="eastAsia" w:ascii="宋体" w:hAnsi="宋体" w:cs="宋体"/>
                <w:color w:val="000000"/>
                <w:sz w:val="18"/>
                <w:szCs w:val="16"/>
              </w:rPr>
            </w:pPr>
          </w:p>
        </w:tc>
      </w:tr>
      <w:tr w14:paraId="7C8128C4">
        <w:tblPrEx>
          <w:tblCellMar>
            <w:top w:w="0" w:type="dxa"/>
            <w:left w:w="108" w:type="dxa"/>
            <w:bottom w:w="0" w:type="dxa"/>
            <w:right w:w="108" w:type="dxa"/>
          </w:tblCellMar>
        </w:tblPrEx>
        <w:trPr>
          <w:trHeight w:val="1842" w:hRule="atLeast"/>
          <w:jc w:val="center"/>
        </w:trPr>
        <w:tc>
          <w:tcPr>
            <w:tcW w:w="417" w:type="dxa"/>
            <w:tcBorders>
              <w:top w:val="single" w:color="000000" w:sz="4" w:space="0"/>
              <w:left w:val="single" w:color="000000" w:sz="4" w:space="0"/>
              <w:bottom w:val="single" w:color="000000" w:sz="4" w:space="0"/>
              <w:right w:val="single" w:color="000000" w:sz="4" w:space="0"/>
            </w:tcBorders>
            <w:noWrap/>
            <w:vAlign w:val="center"/>
          </w:tcPr>
          <w:p w14:paraId="215E73D6">
            <w:pPr>
              <w:widowControl/>
              <w:snapToGrid w:val="0"/>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1205" w:type="dxa"/>
            <w:vMerge w:val="restart"/>
            <w:tcBorders>
              <w:top w:val="single" w:color="000000" w:sz="4" w:space="0"/>
              <w:left w:val="single" w:color="000000" w:sz="4" w:space="0"/>
              <w:right w:val="single" w:color="000000" w:sz="4" w:space="0"/>
            </w:tcBorders>
            <w:noWrap w:val="0"/>
            <w:vAlign w:val="center"/>
          </w:tcPr>
          <w:p w14:paraId="20258006">
            <w:pPr>
              <w:widowControl/>
              <w:snapToGrid w:val="0"/>
              <w:textAlignment w:val="center"/>
              <w:rPr>
                <w:rFonts w:hint="eastAsia" w:ascii="宋体" w:hAnsi="宋体" w:cs="宋体"/>
                <w:color w:val="000000"/>
                <w:sz w:val="20"/>
              </w:rPr>
            </w:pPr>
            <w:r>
              <w:rPr>
                <w:rFonts w:hint="eastAsia" w:ascii="宋体" w:hAnsi="宋体" w:cs="宋体"/>
                <w:color w:val="000000"/>
                <w:kern w:val="0"/>
                <w:sz w:val="20"/>
                <w:lang w:bidi="ar"/>
              </w:rPr>
              <w:t>供应D分项</w:t>
            </w:r>
            <w:r>
              <w:rPr>
                <w:rFonts w:hint="eastAsia" w:ascii="宋体" w:hAnsi="宋体" w:cs="宋体"/>
                <w:color w:val="000000"/>
                <w:sz w:val="18"/>
                <w:szCs w:val="18"/>
                <w:highlight w:val="none"/>
              </w:rPr>
              <w:t>（</w:t>
            </w:r>
            <w:r>
              <w:rPr>
                <w:rFonts w:hint="eastAsia" w:ascii="宋体" w:hAnsi="宋体" w:cs="宋体"/>
                <w:color w:val="000000"/>
                <w:sz w:val="18"/>
                <w:szCs w:val="18"/>
                <w:highlight w:val="none"/>
                <w:lang w:val="en-US" w:eastAsia="zh-CN"/>
              </w:rPr>
              <w:t>40</w:t>
            </w:r>
            <w:r>
              <w:rPr>
                <w:rFonts w:hint="eastAsia" w:ascii="宋体" w:hAnsi="宋体" w:cs="宋体"/>
                <w:color w:val="000000"/>
                <w:sz w:val="18"/>
                <w:szCs w:val="18"/>
                <w:highlight w:val="none"/>
              </w:rPr>
              <w:t>分）</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3808B10">
            <w:pPr>
              <w:widowControl/>
              <w:snapToGrid w:val="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主流/重要企业相关配套供应证明</w:t>
            </w:r>
          </w:p>
        </w:tc>
        <w:tc>
          <w:tcPr>
            <w:tcW w:w="2977" w:type="dxa"/>
            <w:tcBorders>
              <w:top w:val="single" w:color="000000" w:sz="4" w:space="0"/>
              <w:left w:val="single" w:color="000000" w:sz="4" w:space="0"/>
              <w:bottom w:val="single" w:color="000000" w:sz="4" w:space="0"/>
              <w:right w:val="single" w:color="000000" w:sz="4" w:space="0"/>
            </w:tcBorders>
            <w:noWrap w:val="0"/>
            <w:vAlign w:val="center"/>
          </w:tcPr>
          <w:p w14:paraId="1F85E564">
            <w:pPr>
              <w:widowControl/>
              <w:snapToGrid w:val="0"/>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2023-2025年服务的重要客户（商用车或乘用车/政府&amp;国有企业&amp;大型民企）</w:t>
            </w:r>
          </w:p>
          <w:p w14:paraId="4601FB48">
            <w:pPr>
              <w:widowControl/>
              <w:snapToGrid w:val="0"/>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数量低于</w:t>
            </w:r>
            <w:r>
              <w:rPr>
                <w:rFonts w:hint="eastAsia" w:ascii="宋体" w:hAnsi="宋体" w:cs="宋体"/>
                <w:color w:val="000000"/>
                <w:kern w:val="0"/>
                <w:sz w:val="18"/>
                <w:szCs w:val="18"/>
                <w:lang w:val="en-US" w:eastAsia="zh-CN" w:bidi="ar"/>
              </w:rPr>
              <w:t>3</w:t>
            </w:r>
            <w:r>
              <w:rPr>
                <w:rFonts w:hint="eastAsia" w:ascii="宋体" w:hAnsi="宋体" w:cs="宋体"/>
                <w:color w:val="000000"/>
                <w:kern w:val="0"/>
                <w:sz w:val="18"/>
                <w:szCs w:val="18"/>
                <w:lang w:bidi="ar"/>
              </w:rPr>
              <w:t>家，得0分；</w:t>
            </w:r>
          </w:p>
          <w:p w14:paraId="536FFD33">
            <w:pPr>
              <w:widowControl/>
              <w:snapToGrid w:val="0"/>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等于</w:t>
            </w:r>
            <w:r>
              <w:rPr>
                <w:rFonts w:hint="eastAsia" w:ascii="宋体" w:hAnsi="宋体" w:cs="宋体"/>
                <w:color w:val="000000"/>
                <w:kern w:val="0"/>
                <w:sz w:val="18"/>
                <w:szCs w:val="18"/>
                <w:lang w:val="en-US" w:eastAsia="zh-CN" w:bidi="ar"/>
              </w:rPr>
              <w:t>3</w:t>
            </w:r>
            <w:r>
              <w:rPr>
                <w:rFonts w:hint="eastAsia" w:ascii="宋体" w:hAnsi="宋体" w:cs="宋体"/>
                <w:color w:val="000000"/>
                <w:kern w:val="0"/>
                <w:sz w:val="18"/>
                <w:szCs w:val="18"/>
                <w:lang w:bidi="ar"/>
              </w:rPr>
              <w:t>家，得10分；</w:t>
            </w:r>
          </w:p>
          <w:p w14:paraId="1A0E52FD">
            <w:pPr>
              <w:widowControl/>
              <w:snapToGrid w:val="0"/>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超过</w:t>
            </w:r>
            <w:r>
              <w:rPr>
                <w:rFonts w:hint="eastAsia" w:ascii="宋体" w:hAnsi="宋体" w:cs="宋体"/>
                <w:color w:val="000000"/>
                <w:kern w:val="0"/>
                <w:sz w:val="18"/>
                <w:szCs w:val="18"/>
                <w:lang w:val="en-US" w:eastAsia="zh-CN" w:bidi="ar"/>
              </w:rPr>
              <w:t>3</w:t>
            </w:r>
            <w:r>
              <w:rPr>
                <w:rFonts w:hint="eastAsia" w:ascii="宋体" w:hAnsi="宋体" w:cs="宋体"/>
                <w:color w:val="000000"/>
                <w:kern w:val="0"/>
                <w:sz w:val="18"/>
                <w:szCs w:val="18"/>
                <w:lang w:bidi="ar"/>
              </w:rPr>
              <w:t>家每增加一家加2分，</w:t>
            </w:r>
          </w:p>
          <w:p w14:paraId="1DA2606A">
            <w:pPr>
              <w:widowControl/>
              <w:snapToGrid w:val="0"/>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加至20分为止</w:t>
            </w:r>
          </w:p>
        </w:tc>
        <w:tc>
          <w:tcPr>
            <w:tcW w:w="2817" w:type="dxa"/>
            <w:tcBorders>
              <w:top w:val="single" w:color="000000" w:sz="4" w:space="0"/>
              <w:left w:val="single" w:color="000000" w:sz="4" w:space="0"/>
              <w:bottom w:val="single" w:color="000000" w:sz="4" w:space="0"/>
              <w:right w:val="single" w:color="000000" w:sz="4" w:space="0"/>
            </w:tcBorders>
            <w:noWrap w:val="0"/>
            <w:vAlign w:val="center"/>
          </w:tcPr>
          <w:p w14:paraId="32A9982A">
            <w:pPr>
              <w:widowControl/>
              <w:snapToGrid w:val="0"/>
              <w:jc w:val="center"/>
              <w:textAlignment w:val="center"/>
              <w:rPr>
                <w:rFonts w:hint="eastAsia" w:ascii="宋体" w:hAnsi="宋体" w:cs="宋体"/>
                <w:color w:val="000000"/>
                <w:sz w:val="16"/>
                <w:szCs w:val="16"/>
              </w:rPr>
            </w:pPr>
            <w:r>
              <w:rPr>
                <w:rFonts w:hint="eastAsia" w:ascii="宋体" w:hAnsi="宋体" w:eastAsia="宋体" w:cs="宋体"/>
                <w:color w:val="000000"/>
                <w:kern w:val="0"/>
                <w:sz w:val="18"/>
                <w:szCs w:val="18"/>
                <w:lang w:val="en-US" w:eastAsia="zh-CN" w:bidi="ar"/>
              </w:rPr>
              <w:t>投标人应提供相应采购合同关键页证明（必要时隐去敏感相关项）；未提供或提供材料不完整不得分。</w:t>
            </w:r>
          </w:p>
        </w:tc>
      </w:tr>
      <w:tr w14:paraId="20F57C11">
        <w:tblPrEx>
          <w:tblCellMar>
            <w:top w:w="0" w:type="dxa"/>
            <w:left w:w="108" w:type="dxa"/>
            <w:bottom w:w="0" w:type="dxa"/>
            <w:right w:w="108" w:type="dxa"/>
          </w:tblCellMar>
        </w:tblPrEx>
        <w:trPr>
          <w:trHeight w:val="1094" w:hRule="atLeast"/>
          <w:jc w:val="center"/>
        </w:trPr>
        <w:tc>
          <w:tcPr>
            <w:tcW w:w="417" w:type="dxa"/>
            <w:tcBorders>
              <w:top w:val="single" w:color="000000" w:sz="4" w:space="0"/>
              <w:left w:val="single" w:color="000000" w:sz="4" w:space="0"/>
              <w:bottom w:val="single" w:color="000000" w:sz="4" w:space="0"/>
              <w:right w:val="single" w:color="000000" w:sz="4" w:space="0"/>
            </w:tcBorders>
            <w:noWrap/>
            <w:vAlign w:val="center"/>
          </w:tcPr>
          <w:p w14:paraId="607A7A87">
            <w:pPr>
              <w:widowControl/>
              <w:snapToGrid w:val="0"/>
              <w:jc w:val="center"/>
              <w:textAlignment w:val="bottom"/>
              <w:rPr>
                <w:rFonts w:hint="eastAsia" w:ascii="宋体" w:hAnsi="宋体" w:cs="宋体"/>
                <w:color w:val="000000"/>
                <w:sz w:val="22"/>
                <w:szCs w:val="22"/>
              </w:rPr>
            </w:pPr>
            <w:r>
              <w:rPr>
                <w:rFonts w:hint="eastAsia" w:ascii="宋体" w:hAnsi="宋体" w:cs="宋体"/>
                <w:color w:val="000000"/>
                <w:kern w:val="0"/>
                <w:sz w:val="22"/>
                <w:szCs w:val="22"/>
                <w:lang w:bidi="ar"/>
              </w:rPr>
              <w:t>6</w:t>
            </w:r>
          </w:p>
        </w:tc>
        <w:tc>
          <w:tcPr>
            <w:tcW w:w="1205" w:type="dxa"/>
            <w:vMerge w:val="continue"/>
            <w:tcBorders>
              <w:left w:val="single" w:color="000000" w:sz="4" w:space="0"/>
              <w:bottom w:val="single" w:color="000000" w:sz="4" w:space="0"/>
              <w:right w:val="single" w:color="000000" w:sz="4" w:space="0"/>
            </w:tcBorders>
            <w:noWrap w:val="0"/>
            <w:vAlign w:val="center"/>
          </w:tcPr>
          <w:p w14:paraId="364781D9">
            <w:pPr>
              <w:widowControl/>
              <w:snapToGrid w:val="0"/>
              <w:jc w:val="center"/>
              <w:textAlignment w:val="bottom"/>
              <w:rPr>
                <w:rFonts w:hint="eastAsia" w:ascii="宋体" w:hAnsi="宋体" w:cs="宋体"/>
                <w:color w:val="000000"/>
                <w:sz w:val="20"/>
              </w:rPr>
            </w:pPr>
          </w:p>
        </w:tc>
        <w:tc>
          <w:tcPr>
            <w:tcW w:w="1440" w:type="dxa"/>
            <w:tcBorders>
              <w:top w:val="single" w:color="000000" w:sz="4" w:space="0"/>
              <w:left w:val="single" w:color="000000" w:sz="4" w:space="0"/>
              <w:bottom w:val="single" w:color="000000" w:sz="4" w:space="0"/>
              <w:right w:val="single" w:color="000000" w:sz="4" w:space="0"/>
            </w:tcBorders>
            <w:noWrap/>
            <w:vAlign w:val="center"/>
          </w:tcPr>
          <w:p w14:paraId="1D7B1BB8">
            <w:pPr>
              <w:widowControl/>
              <w:snapToGrid w:val="0"/>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业绩证明</w:t>
            </w: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052D3C1F">
            <w:pPr>
              <w:widowControl/>
              <w:snapToGrid w:val="0"/>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据投标人</w:t>
            </w:r>
            <w:r>
              <w:rPr>
                <w:rFonts w:hint="eastAsia" w:ascii="宋体" w:hAnsi="宋体" w:cs="宋体"/>
                <w:color w:val="000000"/>
                <w:kern w:val="0"/>
                <w:sz w:val="18"/>
                <w:szCs w:val="18"/>
                <w:lang w:bidi="ar"/>
              </w:rPr>
              <w:t>2023-2025年</w:t>
            </w:r>
            <w:r>
              <w:rPr>
                <w:rFonts w:hint="eastAsia" w:ascii="宋体" w:hAnsi="宋体" w:eastAsia="宋体" w:cs="宋体"/>
                <w:color w:val="000000"/>
                <w:kern w:val="0"/>
                <w:sz w:val="18"/>
                <w:szCs w:val="18"/>
                <w:lang w:val="en-US" w:eastAsia="zh-CN" w:bidi="ar"/>
              </w:rPr>
              <w:t>（以合同签订时间为准）承接的品牌战略、传播策划等</w:t>
            </w:r>
            <w:r>
              <w:rPr>
                <w:rFonts w:hint="eastAsia" w:ascii="宋体" w:hAnsi="宋体" w:eastAsia="宋体" w:cs="宋体"/>
                <w:color w:val="000000"/>
                <w:kern w:val="0"/>
                <w:sz w:val="18"/>
                <w:szCs w:val="18"/>
                <w:lang w:eastAsia="zh-CN" w:bidi="ar"/>
              </w:rPr>
              <w:t>服务项目</w:t>
            </w:r>
            <w:r>
              <w:rPr>
                <w:rFonts w:hint="eastAsia" w:ascii="宋体" w:hAnsi="宋体" w:eastAsia="宋体" w:cs="宋体"/>
                <w:color w:val="000000"/>
                <w:kern w:val="0"/>
                <w:sz w:val="18"/>
                <w:szCs w:val="18"/>
                <w:lang w:val="en-US" w:eastAsia="zh-CN" w:bidi="ar"/>
              </w:rPr>
              <w:t>业绩进行评价：</w:t>
            </w:r>
          </w:p>
          <w:p w14:paraId="15144841">
            <w:pPr>
              <w:widowControl/>
              <w:snapToGrid w:val="0"/>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①</w:t>
            </w:r>
            <w:r>
              <w:rPr>
                <w:rFonts w:hint="eastAsia" w:ascii="宋体" w:hAnsi="宋体" w:eastAsia="宋体" w:cs="宋体"/>
                <w:color w:val="000000"/>
                <w:kern w:val="0"/>
                <w:sz w:val="18"/>
                <w:szCs w:val="18"/>
                <w:lang w:eastAsia="zh-CN" w:bidi="ar"/>
              </w:rPr>
              <w:t>50万&gt;合同金额≥20万，每</w:t>
            </w:r>
            <w:r>
              <w:rPr>
                <w:rFonts w:hint="eastAsia" w:ascii="宋体" w:hAnsi="宋体" w:eastAsia="宋体" w:cs="宋体"/>
                <w:color w:val="000000"/>
                <w:kern w:val="0"/>
                <w:sz w:val="18"/>
                <w:szCs w:val="18"/>
                <w:lang w:val="en-US" w:eastAsia="zh-CN" w:bidi="ar"/>
              </w:rPr>
              <w:t>提供一个有效</w:t>
            </w:r>
            <w:r>
              <w:rPr>
                <w:rFonts w:hint="eastAsia" w:ascii="宋体" w:hAnsi="宋体" w:eastAsia="宋体" w:cs="宋体"/>
                <w:color w:val="000000"/>
                <w:kern w:val="0"/>
                <w:sz w:val="18"/>
                <w:szCs w:val="18"/>
                <w:lang w:eastAsia="zh-CN" w:bidi="ar"/>
              </w:rPr>
              <w:t>业绩得</w:t>
            </w:r>
            <w:r>
              <w:rPr>
                <w:rFonts w:hint="eastAsia" w:ascii="宋体" w:hAnsi="宋体" w:eastAsia="宋体" w:cs="宋体"/>
                <w:color w:val="000000"/>
                <w:kern w:val="0"/>
                <w:sz w:val="18"/>
                <w:szCs w:val="18"/>
                <w:lang w:val="en-US" w:eastAsia="zh-CN" w:bidi="ar"/>
              </w:rPr>
              <w:t>4</w:t>
            </w:r>
            <w:r>
              <w:rPr>
                <w:rFonts w:hint="eastAsia" w:ascii="宋体" w:hAnsi="宋体" w:eastAsia="宋体" w:cs="宋体"/>
                <w:color w:val="000000"/>
                <w:kern w:val="0"/>
                <w:sz w:val="18"/>
                <w:szCs w:val="18"/>
                <w:lang w:eastAsia="zh-CN" w:bidi="ar"/>
              </w:rPr>
              <w:t>分；</w:t>
            </w:r>
          </w:p>
          <w:p w14:paraId="7D4450B3">
            <w:pPr>
              <w:widowControl/>
              <w:snapToGrid w:val="0"/>
              <w:jc w:val="center"/>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②</w:t>
            </w:r>
            <w:r>
              <w:rPr>
                <w:rFonts w:hint="eastAsia" w:ascii="宋体" w:hAnsi="宋体" w:eastAsia="宋体" w:cs="宋体"/>
                <w:color w:val="000000"/>
                <w:kern w:val="0"/>
                <w:sz w:val="18"/>
                <w:szCs w:val="18"/>
                <w:lang w:eastAsia="zh-CN" w:bidi="ar"/>
              </w:rPr>
              <w:t>合同金额≥50万，每</w:t>
            </w:r>
            <w:r>
              <w:rPr>
                <w:rFonts w:hint="eastAsia" w:ascii="宋体" w:hAnsi="宋体" w:eastAsia="宋体" w:cs="宋体"/>
                <w:color w:val="000000"/>
                <w:kern w:val="0"/>
                <w:sz w:val="18"/>
                <w:szCs w:val="18"/>
                <w:lang w:val="en-US" w:eastAsia="zh-CN" w:bidi="ar"/>
              </w:rPr>
              <w:t>提供一个有效</w:t>
            </w:r>
            <w:r>
              <w:rPr>
                <w:rFonts w:hint="eastAsia" w:ascii="宋体" w:hAnsi="宋体" w:eastAsia="宋体" w:cs="宋体"/>
                <w:color w:val="000000"/>
                <w:kern w:val="0"/>
                <w:sz w:val="18"/>
                <w:szCs w:val="18"/>
                <w:lang w:eastAsia="zh-CN" w:bidi="ar"/>
              </w:rPr>
              <w:t>业绩得</w:t>
            </w:r>
            <w:r>
              <w:rPr>
                <w:rFonts w:hint="eastAsia" w:ascii="宋体" w:hAnsi="宋体" w:eastAsia="宋体" w:cs="宋体"/>
                <w:color w:val="000000"/>
                <w:kern w:val="0"/>
                <w:sz w:val="18"/>
                <w:szCs w:val="18"/>
                <w:lang w:val="en-US" w:eastAsia="zh-CN" w:bidi="ar"/>
              </w:rPr>
              <w:t>6</w:t>
            </w:r>
            <w:r>
              <w:rPr>
                <w:rFonts w:hint="eastAsia" w:ascii="宋体" w:hAnsi="宋体" w:eastAsia="宋体" w:cs="宋体"/>
                <w:color w:val="000000"/>
                <w:kern w:val="0"/>
                <w:sz w:val="18"/>
                <w:szCs w:val="18"/>
                <w:lang w:eastAsia="zh-CN" w:bidi="ar"/>
              </w:rPr>
              <w:t>分；</w:t>
            </w:r>
          </w:p>
          <w:p w14:paraId="0B593129">
            <w:pPr>
              <w:widowControl/>
              <w:snapToGrid w:val="0"/>
              <w:jc w:val="center"/>
              <w:textAlignment w:val="center"/>
              <w:rPr>
                <w:rFonts w:hint="eastAsia"/>
                <w:sz w:val="24"/>
                <w:szCs w:val="24"/>
                <w:highlight w:val="none"/>
                <w:lang w:eastAsia="zh-CN"/>
              </w:rPr>
            </w:pPr>
            <w:r>
              <w:rPr>
                <w:rFonts w:hint="eastAsia" w:ascii="宋体" w:hAnsi="宋体" w:eastAsia="宋体" w:cs="宋体"/>
                <w:color w:val="000000"/>
                <w:kern w:val="0"/>
                <w:sz w:val="18"/>
                <w:szCs w:val="18"/>
                <w:lang w:val="en-US" w:eastAsia="zh-CN" w:bidi="ar"/>
              </w:rPr>
              <w:t>本项满分</w:t>
            </w:r>
            <w:r>
              <w:rPr>
                <w:rFonts w:hint="eastAsia" w:ascii="宋体" w:hAnsi="宋体" w:eastAsia="宋体" w:cs="宋体"/>
                <w:color w:val="000000"/>
                <w:kern w:val="0"/>
                <w:sz w:val="18"/>
                <w:szCs w:val="18"/>
                <w:lang w:eastAsia="zh-CN" w:bidi="ar"/>
              </w:rPr>
              <w:t>得</w:t>
            </w:r>
            <w:r>
              <w:rPr>
                <w:rFonts w:hint="eastAsia" w:ascii="宋体" w:hAnsi="宋体" w:eastAsia="宋体" w:cs="宋体"/>
                <w:color w:val="000000"/>
                <w:kern w:val="0"/>
                <w:sz w:val="18"/>
                <w:szCs w:val="18"/>
                <w:lang w:val="en-US" w:eastAsia="zh-CN" w:bidi="ar"/>
              </w:rPr>
              <w:t>20</w:t>
            </w:r>
            <w:r>
              <w:rPr>
                <w:rFonts w:hint="eastAsia" w:ascii="宋体" w:hAnsi="宋体" w:eastAsia="宋体" w:cs="宋体"/>
                <w:color w:val="000000"/>
                <w:kern w:val="0"/>
                <w:sz w:val="18"/>
                <w:szCs w:val="18"/>
                <w:lang w:eastAsia="zh-CN" w:bidi="ar"/>
              </w:rPr>
              <w:t>分。</w:t>
            </w:r>
          </w:p>
          <w:p w14:paraId="0236C421">
            <w:pPr>
              <w:widowControl/>
              <w:snapToGrid w:val="0"/>
              <w:jc w:val="center"/>
              <w:textAlignment w:val="center"/>
              <w:rPr>
                <w:rFonts w:hint="eastAsia" w:ascii="宋体" w:hAnsi="宋体" w:cs="宋体"/>
                <w:color w:val="000000"/>
                <w:kern w:val="0"/>
                <w:sz w:val="18"/>
                <w:szCs w:val="18"/>
                <w:lang w:bidi="ar"/>
              </w:rPr>
            </w:pPr>
          </w:p>
        </w:tc>
        <w:tc>
          <w:tcPr>
            <w:tcW w:w="2817" w:type="dxa"/>
            <w:tcBorders>
              <w:top w:val="single" w:color="000000" w:sz="4" w:space="0"/>
              <w:left w:val="single" w:color="000000" w:sz="4" w:space="0"/>
              <w:bottom w:val="single" w:color="000000" w:sz="4" w:space="0"/>
              <w:right w:val="single" w:color="000000" w:sz="4" w:space="0"/>
            </w:tcBorders>
            <w:noWrap/>
            <w:vAlign w:val="center"/>
          </w:tcPr>
          <w:p w14:paraId="21850038">
            <w:pPr>
              <w:widowControl/>
              <w:snapToGrid w:val="0"/>
              <w:jc w:val="center"/>
              <w:textAlignment w:val="center"/>
              <w:rPr>
                <w:rFonts w:hint="eastAsia" w:ascii="宋体" w:hAnsi="宋体" w:cs="宋体"/>
                <w:color w:val="000000"/>
                <w:kern w:val="0"/>
                <w:sz w:val="18"/>
                <w:szCs w:val="18"/>
                <w:lang w:bidi="ar"/>
              </w:rPr>
            </w:pPr>
            <w:r>
              <w:rPr>
                <w:rFonts w:hint="eastAsia" w:ascii="宋体" w:hAnsi="宋体" w:eastAsia="宋体" w:cs="宋体"/>
                <w:color w:val="000000"/>
                <w:kern w:val="0"/>
                <w:sz w:val="18"/>
                <w:szCs w:val="18"/>
                <w:lang w:val="en-US" w:eastAsia="zh-CN" w:bidi="ar"/>
              </w:rPr>
              <w:t>投标人应提供有效的委托合同或年度框架合同（合作协议）复印件，以及相应的发票复印件（证明材料为以下类型之一：发票复印件或国家税务总局“全量发票查询”截图）（合同金额以发票复印件累计金额或国家税务总局“全量发票查询”累计金额为准），未提供或提供材料不完整不得分。</w:t>
            </w:r>
          </w:p>
        </w:tc>
      </w:tr>
    </w:tbl>
    <w:p w14:paraId="467912C0">
      <w:pPr>
        <w:spacing w:after="156" w:afterLines="50" w:line="440" w:lineRule="exact"/>
        <w:rPr>
          <w:rFonts w:hint="eastAsia" w:ascii="宋体" w:hAnsi="宋体" w:cs="宋体"/>
          <w:b/>
          <w:sz w:val="24"/>
          <w:szCs w:val="24"/>
        </w:rPr>
      </w:pPr>
    </w:p>
    <w:p w14:paraId="2D175037">
      <w:pPr>
        <w:numPr>
          <w:ilvl w:val="0"/>
          <w:numId w:val="3"/>
        </w:numPr>
        <w:spacing w:after="156" w:afterLines="50" w:line="440" w:lineRule="exact"/>
        <w:rPr>
          <w:rFonts w:hint="eastAsia" w:ascii="宋体" w:hAnsi="宋体" w:cs="宋体"/>
          <w:b/>
          <w:sz w:val="24"/>
          <w:szCs w:val="24"/>
          <w:lang w:val="zh-CN"/>
        </w:rPr>
      </w:pPr>
      <w:r>
        <w:rPr>
          <w:rFonts w:hint="eastAsia" w:ascii="宋体" w:hAnsi="宋体" w:cs="宋体"/>
          <w:b/>
          <w:sz w:val="24"/>
          <w:szCs w:val="20"/>
        </w:rPr>
        <w:t>商务价格</w:t>
      </w:r>
      <w:r>
        <w:rPr>
          <w:rFonts w:hint="eastAsia" w:ascii="宋体" w:hAnsi="宋体" w:cs="宋体"/>
          <w:b/>
          <w:sz w:val="24"/>
          <w:szCs w:val="20"/>
          <w:lang w:val="zh-CN"/>
        </w:rPr>
        <w:t>因素分F</w:t>
      </w:r>
      <w:r>
        <w:rPr>
          <w:rFonts w:hint="eastAsia" w:ascii="宋体" w:hAnsi="宋体" w:cs="宋体"/>
          <w:b/>
          <w:sz w:val="24"/>
          <w:szCs w:val="20"/>
        </w:rPr>
        <w:t>2</w:t>
      </w:r>
      <w:r>
        <w:rPr>
          <w:rFonts w:hint="eastAsia" w:ascii="宋体" w:hAnsi="宋体" w:cs="宋体"/>
          <w:b/>
          <w:sz w:val="24"/>
          <w:szCs w:val="20"/>
          <w:lang w:val="zh-CN"/>
        </w:rPr>
        <w:t>（满分</w:t>
      </w:r>
      <w:r>
        <w:rPr>
          <w:rFonts w:hint="eastAsia" w:ascii="宋体" w:hAnsi="宋体" w:cs="宋体"/>
          <w:b/>
          <w:sz w:val="24"/>
          <w:szCs w:val="20"/>
        </w:rPr>
        <w:t>100分，</w:t>
      </w:r>
      <w:r>
        <w:rPr>
          <w:rFonts w:hint="eastAsia" w:ascii="宋体" w:hAnsi="宋体" w:cs="宋体"/>
          <w:b/>
          <w:sz w:val="24"/>
          <w:szCs w:val="24"/>
        </w:rPr>
        <w:t>综合评审分配分值权重</w:t>
      </w:r>
      <w:r>
        <w:rPr>
          <w:rFonts w:hint="eastAsia" w:ascii="宋体" w:hAnsi="宋体" w:cs="宋体"/>
          <w:b/>
          <w:color w:val="FF0000"/>
          <w:sz w:val="24"/>
          <w:szCs w:val="24"/>
        </w:rPr>
        <w:t>50%</w:t>
      </w:r>
      <w:r>
        <w:rPr>
          <w:rFonts w:hint="eastAsia" w:ascii="宋体" w:hAnsi="宋体" w:cs="宋体"/>
          <w:b/>
          <w:sz w:val="24"/>
          <w:szCs w:val="20"/>
        </w:rPr>
        <w:t>）</w:t>
      </w:r>
    </w:p>
    <w:p w14:paraId="4BA8E987">
      <w:pPr>
        <w:spacing w:after="156" w:afterLines="50" w:line="440" w:lineRule="exact"/>
        <w:rPr>
          <w:rFonts w:hint="eastAsia" w:ascii="宋体" w:hAnsi="宋体" w:cs="宋体"/>
          <w:b/>
          <w:sz w:val="24"/>
          <w:szCs w:val="24"/>
        </w:rPr>
      </w:pPr>
      <w:r>
        <w:rPr>
          <w:rFonts w:hint="eastAsia" w:ascii="宋体" w:hAnsi="宋体" w:cs="宋体"/>
          <w:b/>
          <w:sz w:val="24"/>
          <w:szCs w:val="24"/>
        </w:rPr>
        <w:t>见表二：供应商商务价格评审项目/评分标准</w:t>
      </w:r>
    </w:p>
    <w:p w14:paraId="3C035538">
      <w:pPr>
        <w:spacing w:after="156" w:afterLines="50" w:line="440" w:lineRule="exact"/>
        <w:ind w:firstLine="482" w:firstLineChars="200"/>
        <w:rPr>
          <w:rFonts w:hint="eastAsia" w:ascii="宋体" w:hAnsi="宋体" w:cs="宋体"/>
          <w:b/>
          <w:sz w:val="24"/>
          <w:szCs w:val="24"/>
        </w:rPr>
      </w:pPr>
      <w:r>
        <w:rPr>
          <w:rFonts w:hint="eastAsia" w:ascii="宋体" w:hAnsi="宋体" w:cs="宋体"/>
          <w:b/>
          <w:sz w:val="24"/>
          <w:szCs w:val="24"/>
        </w:rPr>
        <w:t>取有效投标人的最终投标报价算术平均值作为基准价，其评标基准价格分为满分。其他投标人的价格分统一按照下列公式计算：</w:t>
      </w:r>
    </w:p>
    <w:p w14:paraId="2AD0BDC8">
      <w:pPr>
        <w:spacing w:after="156" w:afterLines="50" w:line="440" w:lineRule="exact"/>
        <w:ind w:firstLine="482" w:firstLineChars="200"/>
        <w:rPr>
          <w:rFonts w:hint="eastAsia" w:ascii="宋体" w:hAnsi="宋体" w:cs="宋体"/>
          <w:b/>
          <w:sz w:val="24"/>
          <w:szCs w:val="24"/>
        </w:rPr>
      </w:pPr>
      <w:r>
        <w:rPr>
          <w:rFonts w:hint="eastAsia" w:ascii="宋体" w:hAnsi="宋体" w:cs="宋体"/>
          <w:b/>
          <w:sz w:val="24"/>
          <w:szCs w:val="24"/>
        </w:rPr>
        <w:t>偏差率=100%×｜评审价-评标基准价｜/评标基准价</w:t>
      </w:r>
    </w:p>
    <w:p w14:paraId="5AFA8758">
      <w:pPr>
        <w:spacing w:after="156" w:afterLines="50" w:line="440" w:lineRule="exact"/>
        <w:ind w:firstLine="482" w:firstLineChars="200"/>
        <w:rPr>
          <w:rFonts w:hint="eastAsia" w:ascii="宋体" w:hAnsi="宋体" w:cs="宋体"/>
          <w:b/>
          <w:sz w:val="24"/>
          <w:szCs w:val="24"/>
        </w:rPr>
      </w:pPr>
      <w:r>
        <w:rPr>
          <w:rFonts w:hint="eastAsia" w:ascii="宋体" w:hAnsi="宋体" w:cs="宋体"/>
          <w:b/>
          <w:sz w:val="24"/>
          <w:szCs w:val="24"/>
        </w:rPr>
        <w:t>（1）如果投标人的评审价＞评标基准价，则最终得分=</w:t>
      </w:r>
      <w:r>
        <w:rPr>
          <w:rFonts w:hint="eastAsia" w:ascii="宋体" w:hAnsi="宋体" w:cs="宋体"/>
          <w:b/>
          <w:sz w:val="24"/>
          <w:szCs w:val="24"/>
          <w:lang w:val="en-US" w:eastAsia="zh-CN"/>
        </w:rPr>
        <w:t>100</w:t>
      </w:r>
      <w:r>
        <w:rPr>
          <w:rFonts w:hint="eastAsia" w:ascii="宋体" w:hAnsi="宋体" w:cs="宋体"/>
          <w:b/>
          <w:sz w:val="24"/>
          <w:szCs w:val="24"/>
        </w:rPr>
        <w:t>-偏差率×</w:t>
      </w:r>
      <w:r>
        <w:rPr>
          <w:rFonts w:hint="eastAsia" w:ascii="宋体" w:hAnsi="宋体" w:cs="宋体"/>
          <w:b/>
          <w:sz w:val="24"/>
          <w:szCs w:val="24"/>
          <w:lang w:val="en-US" w:eastAsia="zh-CN"/>
        </w:rPr>
        <w:t>100</w:t>
      </w:r>
      <w:r>
        <w:rPr>
          <w:rFonts w:hint="eastAsia" w:ascii="宋体" w:hAnsi="宋体" w:cs="宋体"/>
          <w:b/>
          <w:sz w:val="24"/>
          <w:szCs w:val="24"/>
        </w:rPr>
        <w:t>×1.</w:t>
      </w:r>
      <w:r>
        <w:rPr>
          <w:rFonts w:hint="eastAsia" w:ascii="宋体" w:hAnsi="宋体" w:cs="宋体"/>
          <w:b/>
          <w:sz w:val="24"/>
          <w:szCs w:val="24"/>
          <w:lang w:val="en-US" w:eastAsia="zh-CN"/>
        </w:rPr>
        <w:t>0</w:t>
      </w:r>
      <w:bookmarkStart w:id="8" w:name="_GoBack"/>
      <w:bookmarkEnd w:id="8"/>
      <w:r>
        <w:rPr>
          <w:rFonts w:hint="eastAsia" w:ascii="宋体" w:hAnsi="宋体" w:cs="宋体"/>
          <w:b/>
          <w:sz w:val="24"/>
          <w:szCs w:val="24"/>
        </w:rPr>
        <w:t>5；</w:t>
      </w:r>
    </w:p>
    <w:p w14:paraId="4BB5EC5F">
      <w:pPr>
        <w:spacing w:after="156" w:afterLines="50" w:line="440" w:lineRule="exact"/>
        <w:ind w:firstLine="482" w:firstLineChars="200"/>
        <w:rPr>
          <w:rFonts w:hint="eastAsia" w:ascii="宋体" w:hAnsi="宋体" w:cs="宋体"/>
          <w:b/>
          <w:sz w:val="24"/>
          <w:szCs w:val="24"/>
        </w:rPr>
      </w:pPr>
      <w:r>
        <w:rPr>
          <w:rFonts w:hint="eastAsia" w:ascii="宋体" w:hAnsi="宋体" w:cs="宋体"/>
          <w:b/>
          <w:sz w:val="24"/>
          <w:szCs w:val="24"/>
        </w:rPr>
        <w:t>（2）如果投标人的评审价≤评标基准价，则最终得分=</w:t>
      </w:r>
      <w:r>
        <w:rPr>
          <w:rFonts w:hint="eastAsia" w:ascii="宋体" w:hAnsi="宋体" w:cs="宋体"/>
          <w:b/>
          <w:sz w:val="24"/>
          <w:szCs w:val="24"/>
          <w:lang w:val="en-US" w:eastAsia="zh-CN"/>
        </w:rPr>
        <w:t>100</w:t>
      </w:r>
      <w:r>
        <w:rPr>
          <w:rFonts w:hint="eastAsia" w:ascii="宋体" w:hAnsi="宋体" w:cs="宋体"/>
          <w:b/>
          <w:sz w:val="24"/>
          <w:szCs w:val="24"/>
        </w:rPr>
        <w:t>-偏差率×</w:t>
      </w:r>
      <w:r>
        <w:rPr>
          <w:rFonts w:hint="eastAsia" w:ascii="宋体" w:hAnsi="宋体" w:cs="宋体"/>
          <w:b/>
          <w:sz w:val="24"/>
          <w:szCs w:val="24"/>
          <w:lang w:val="en-US" w:eastAsia="zh-CN"/>
        </w:rPr>
        <w:t>100</w:t>
      </w:r>
      <w:r>
        <w:rPr>
          <w:rFonts w:hint="eastAsia" w:ascii="宋体" w:hAnsi="宋体" w:cs="宋体"/>
          <w:b/>
          <w:sz w:val="24"/>
          <w:szCs w:val="24"/>
        </w:rPr>
        <w:t>×1；</w:t>
      </w:r>
    </w:p>
    <w:p w14:paraId="2F0AD59D">
      <w:pPr>
        <w:spacing w:after="156" w:afterLines="50" w:line="440" w:lineRule="exact"/>
        <w:ind w:firstLine="482" w:firstLineChars="200"/>
        <w:rPr>
          <w:rFonts w:hint="eastAsia" w:ascii="宋体" w:hAnsi="宋体" w:cs="宋体"/>
          <w:b/>
          <w:sz w:val="24"/>
          <w:szCs w:val="24"/>
        </w:rPr>
      </w:pPr>
      <w:r>
        <w:rPr>
          <w:rFonts w:hint="eastAsia" w:ascii="宋体" w:hAnsi="宋体" w:cs="宋体"/>
          <w:b/>
          <w:sz w:val="24"/>
          <w:szCs w:val="24"/>
        </w:rPr>
        <w:t>注：计算得分时，均四舍五入后保留最后两位小数。</w:t>
      </w:r>
    </w:p>
    <w:p w14:paraId="165A57E0">
      <w:pPr>
        <w:numPr>
          <w:ilvl w:val="0"/>
          <w:numId w:val="3"/>
        </w:numPr>
        <w:spacing w:after="156" w:afterLines="50" w:line="440" w:lineRule="exact"/>
        <w:rPr>
          <w:rFonts w:hint="eastAsia" w:ascii="宋体" w:hAnsi="宋体" w:cs="宋体"/>
          <w:b/>
          <w:sz w:val="24"/>
          <w:szCs w:val="24"/>
          <w:lang w:val="zh-CN"/>
        </w:rPr>
      </w:pPr>
      <w:r>
        <w:rPr>
          <w:rFonts w:hint="eastAsia" w:ascii="宋体" w:hAnsi="宋体" w:cs="宋体"/>
          <w:b/>
          <w:sz w:val="24"/>
          <w:lang w:val="zh-CN"/>
        </w:rPr>
        <w:t>评标</w:t>
      </w:r>
      <w:r>
        <w:rPr>
          <w:rFonts w:hint="eastAsia" w:ascii="宋体" w:hAnsi="宋体" w:cs="宋体"/>
          <w:b/>
          <w:sz w:val="24"/>
        </w:rPr>
        <w:t>综合</w:t>
      </w:r>
      <w:r>
        <w:rPr>
          <w:rFonts w:hint="eastAsia" w:ascii="宋体" w:hAnsi="宋体" w:cs="宋体"/>
          <w:b/>
          <w:sz w:val="24"/>
          <w:lang w:val="zh-CN"/>
        </w:rPr>
        <w:t>得分汇总</w:t>
      </w:r>
    </w:p>
    <w:p w14:paraId="5E4D3566">
      <w:pPr>
        <w:tabs>
          <w:tab w:val="left" w:pos="0"/>
        </w:tabs>
        <w:spacing w:line="500" w:lineRule="exact"/>
        <w:ind w:firstLine="460" w:firstLineChars="192"/>
        <w:rPr>
          <w:rFonts w:hint="eastAsia" w:ascii="宋体" w:hAnsi="宋体" w:cs="宋体"/>
          <w:b/>
          <w:sz w:val="24"/>
          <w:szCs w:val="20"/>
        </w:rPr>
      </w:pPr>
      <w:r>
        <w:rPr>
          <w:rFonts w:hint="eastAsia" w:ascii="宋体" w:hAnsi="宋体"/>
          <w:kern w:val="0"/>
          <w:sz w:val="24"/>
        </w:rPr>
        <w:t>各部分评分分值分布及评分标准如下:对评委的供应商能力部分、商务部分评分结果进行统计时，将以算术平均计算各有效投标人的能力、商务最终得分，各项分数均保留至小数点后2位数（第3位四舍五入）。</w:t>
      </w:r>
      <w:r>
        <w:rPr>
          <w:rFonts w:hint="eastAsia" w:ascii="宋体" w:hAnsi="宋体"/>
          <w:b/>
          <w:sz w:val="24"/>
        </w:rPr>
        <w:t>综合得分＝F1*</w:t>
      </w:r>
      <w:r>
        <w:rPr>
          <w:rFonts w:hint="eastAsia" w:ascii="宋体" w:hAnsi="宋体"/>
          <w:b/>
          <w:color w:val="FF0000"/>
          <w:sz w:val="24"/>
        </w:rPr>
        <w:t>50%</w:t>
      </w:r>
      <w:r>
        <w:rPr>
          <w:rFonts w:hint="eastAsia" w:ascii="宋体" w:hAnsi="宋体"/>
          <w:b/>
          <w:sz w:val="24"/>
        </w:rPr>
        <w:t>+ F2*</w:t>
      </w:r>
      <w:r>
        <w:rPr>
          <w:rFonts w:hint="eastAsia" w:ascii="宋体" w:hAnsi="宋体"/>
          <w:b/>
          <w:color w:val="FF0000"/>
          <w:sz w:val="24"/>
        </w:rPr>
        <w:t>50%</w:t>
      </w:r>
    </w:p>
    <w:p w14:paraId="795C0505">
      <w:pPr>
        <w:numPr>
          <w:ilvl w:val="0"/>
          <w:numId w:val="3"/>
        </w:numPr>
        <w:spacing w:after="156" w:afterLines="50" w:line="440" w:lineRule="exact"/>
        <w:rPr>
          <w:rFonts w:hint="eastAsia" w:ascii="宋体" w:hAnsi="宋体" w:cs="宋体"/>
          <w:b/>
          <w:sz w:val="24"/>
          <w:szCs w:val="24"/>
          <w:lang w:val="zh-CN"/>
        </w:rPr>
      </w:pPr>
      <w:r>
        <w:rPr>
          <w:rFonts w:ascii="宋体" w:hAnsi="宋体" w:cs="宋体"/>
          <w:b/>
          <w:sz w:val="24"/>
          <w:lang w:val="zh-CN"/>
        </w:rPr>
        <w:t>推荐</w:t>
      </w:r>
      <w:r>
        <w:rPr>
          <w:rFonts w:hint="eastAsia" w:ascii="宋体" w:hAnsi="宋体" w:cs="宋体"/>
          <w:b/>
          <w:sz w:val="24"/>
          <w:lang w:val="zh-CN"/>
        </w:rPr>
        <w:t>中标候选人</w:t>
      </w:r>
      <w:r>
        <w:rPr>
          <w:rFonts w:ascii="宋体" w:hAnsi="宋体" w:cs="宋体"/>
          <w:b/>
          <w:sz w:val="24"/>
          <w:lang w:val="zh-CN"/>
        </w:rPr>
        <w:t>名单</w:t>
      </w:r>
    </w:p>
    <w:p w14:paraId="5A3981CF">
      <w:pPr>
        <w:spacing w:before="156" w:beforeLines="50" w:line="360" w:lineRule="auto"/>
        <w:ind w:firstLine="475" w:firstLineChars="198"/>
        <w:rPr>
          <w:rFonts w:hint="eastAsia" w:ascii="宋体" w:hAnsi="宋体" w:cs="宋体"/>
          <w:b/>
          <w:sz w:val="24"/>
          <w:lang w:val="zh-CN"/>
        </w:rPr>
      </w:pPr>
      <w:r>
        <w:rPr>
          <w:rFonts w:ascii="宋体" w:hAnsi="宋体" w:cs="宋体"/>
          <w:sz w:val="24"/>
        </w:rPr>
        <w:t>1、</w:t>
      </w:r>
      <w:r>
        <w:rPr>
          <w:rFonts w:hint="eastAsia" w:ascii="宋体" w:hAnsi="宋体" w:cs="宋体"/>
          <w:sz w:val="24"/>
        </w:rPr>
        <w:t>项目中标候选人</w:t>
      </w:r>
      <w:r>
        <w:rPr>
          <w:rFonts w:ascii="宋体" w:hAnsi="宋体" w:cs="宋体"/>
          <w:sz w:val="24"/>
        </w:rPr>
        <w:t>数量：</w:t>
      </w:r>
      <w:r>
        <w:rPr>
          <w:rFonts w:ascii="宋体" w:hAnsi="宋体" w:cs="宋体"/>
          <w:b/>
          <w:sz w:val="24"/>
          <w:u w:val="single"/>
        </w:rPr>
        <w:t xml:space="preserve"> </w:t>
      </w:r>
      <w:r>
        <w:rPr>
          <w:rFonts w:hint="eastAsia" w:ascii="宋体" w:hAnsi="宋体" w:cs="宋体"/>
          <w:b/>
          <w:sz w:val="24"/>
          <w:u w:val="single"/>
          <w:lang w:val="en-US" w:eastAsia="zh-CN"/>
        </w:rPr>
        <w:t>3</w:t>
      </w:r>
      <w:r>
        <w:rPr>
          <w:rFonts w:ascii="宋体" w:hAnsi="宋体" w:cs="宋体"/>
          <w:sz w:val="24"/>
        </w:rPr>
        <w:t>个。</w:t>
      </w:r>
    </w:p>
    <w:p w14:paraId="6B35B8BD">
      <w:pPr>
        <w:spacing w:line="360" w:lineRule="auto"/>
        <w:ind w:firstLine="504" w:firstLineChars="210"/>
        <w:rPr>
          <w:rFonts w:hint="eastAsia" w:ascii="宋体" w:hAnsi="宋体" w:cs="宋体"/>
          <w:bCs/>
          <w:sz w:val="24"/>
        </w:rPr>
      </w:pPr>
      <w:r>
        <w:rPr>
          <w:rFonts w:ascii="宋体" w:hAnsi="宋体" w:cs="宋体"/>
          <w:sz w:val="24"/>
        </w:rPr>
        <w:t>2、</w:t>
      </w:r>
      <w:r>
        <w:rPr>
          <w:rFonts w:hint="eastAsia" w:ascii="宋体" w:hAnsi="宋体" w:cs="宋体"/>
          <w:sz w:val="24"/>
        </w:rPr>
        <w:t>中标候选人</w:t>
      </w:r>
      <w:r>
        <w:rPr>
          <w:rFonts w:ascii="宋体" w:hAnsi="宋体" w:cs="宋体"/>
          <w:sz w:val="24"/>
        </w:rPr>
        <w:t>排列顺序。经投标文件</w:t>
      </w:r>
      <w:r>
        <w:rPr>
          <w:rFonts w:hint="eastAsia" w:ascii="宋体" w:hAnsi="宋体"/>
          <w:sz w:val="24"/>
        </w:rPr>
        <w:t>资格审核</w:t>
      </w:r>
      <w:r>
        <w:rPr>
          <w:rFonts w:ascii="宋体" w:hAnsi="宋体" w:cs="宋体"/>
          <w:sz w:val="24"/>
        </w:rPr>
        <w:t>、澄清有关问题、比较与评价评标程序后，按以下办法推荐</w:t>
      </w:r>
      <w:r>
        <w:rPr>
          <w:rFonts w:hint="eastAsia" w:ascii="宋体" w:hAnsi="宋体" w:cs="宋体"/>
          <w:sz w:val="24"/>
        </w:rPr>
        <w:t>中标候选人</w:t>
      </w:r>
      <w:r>
        <w:rPr>
          <w:rFonts w:ascii="宋体" w:hAnsi="宋体" w:cs="宋体"/>
          <w:sz w:val="24"/>
        </w:rPr>
        <w:t>名单的排列顺序</w:t>
      </w:r>
      <w:r>
        <w:rPr>
          <w:rFonts w:ascii="宋体" w:hAnsi="宋体" w:cs="宋体"/>
          <w:bCs/>
          <w:sz w:val="24"/>
        </w:rPr>
        <w:t>，按评审后综合得分由高到低顺序排列</w:t>
      </w:r>
      <w:r>
        <w:rPr>
          <w:rFonts w:hint="eastAsia" w:ascii="宋体" w:hAnsi="宋体" w:cs="宋体"/>
          <w:bCs/>
          <w:sz w:val="24"/>
        </w:rPr>
        <w:t>；综合</w:t>
      </w:r>
      <w:r>
        <w:rPr>
          <w:rFonts w:ascii="宋体" w:hAnsi="宋体" w:cs="宋体"/>
          <w:bCs/>
          <w:sz w:val="24"/>
        </w:rPr>
        <w:t>得分相同的，按投标报价由低到高顺序排列</w:t>
      </w:r>
      <w:r>
        <w:rPr>
          <w:rFonts w:hint="eastAsia" w:ascii="宋体" w:hAnsi="宋体" w:cs="宋体"/>
          <w:bCs/>
          <w:sz w:val="24"/>
        </w:rPr>
        <w:t>；综合</w:t>
      </w:r>
      <w:r>
        <w:rPr>
          <w:rFonts w:ascii="宋体" w:hAnsi="宋体" w:cs="宋体"/>
          <w:bCs/>
          <w:sz w:val="24"/>
        </w:rPr>
        <w:t>得分且投标报价相同的，按</w:t>
      </w:r>
      <w:r>
        <w:rPr>
          <w:rFonts w:hint="eastAsia" w:ascii="宋体" w:hAnsi="宋体" w:cs="宋体"/>
          <w:bCs/>
          <w:sz w:val="24"/>
        </w:rPr>
        <w:t>资格审核</w:t>
      </w:r>
      <w:r>
        <w:rPr>
          <w:rFonts w:ascii="宋体" w:hAnsi="宋体" w:cs="宋体"/>
          <w:bCs/>
          <w:sz w:val="24"/>
        </w:rPr>
        <w:t>得分由高到低顺序排列</w:t>
      </w:r>
      <w:r>
        <w:rPr>
          <w:rFonts w:hint="eastAsia" w:ascii="宋体" w:hAnsi="宋体" w:cs="宋体"/>
          <w:bCs/>
          <w:sz w:val="24"/>
        </w:rPr>
        <w:t>。</w:t>
      </w:r>
    </w:p>
    <w:p w14:paraId="06FD2300">
      <w:pPr>
        <w:spacing w:before="156" w:beforeLines="50" w:line="360" w:lineRule="auto"/>
        <w:rPr>
          <w:rFonts w:hint="eastAsia" w:ascii="宋体" w:hAnsi="宋体"/>
          <w:b/>
          <w:sz w:val="28"/>
          <w:szCs w:val="28"/>
          <w:lang w:val="zh-CN"/>
        </w:rPr>
      </w:pPr>
      <w:r>
        <w:rPr>
          <w:rFonts w:ascii="宋体" w:hAnsi="宋体"/>
          <w:b/>
          <w:sz w:val="28"/>
          <w:szCs w:val="28"/>
          <w:lang w:val="zh-CN"/>
        </w:rPr>
        <w:t>三、定标原则：确定中标供应商数量：</w:t>
      </w:r>
      <w:r>
        <w:rPr>
          <w:rFonts w:ascii="宋体" w:hAnsi="宋体"/>
          <w:b/>
          <w:sz w:val="28"/>
          <w:szCs w:val="28"/>
          <w:u w:val="single"/>
          <w:lang w:val="zh-CN"/>
        </w:rPr>
        <w:t xml:space="preserve"> </w:t>
      </w:r>
      <w:r>
        <w:rPr>
          <w:rFonts w:ascii="宋体" w:hAnsi="宋体"/>
          <w:b/>
          <w:sz w:val="28"/>
          <w:szCs w:val="28"/>
          <w:u w:val="single"/>
        </w:rPr>
        <w:t>1</w:t>
      </w:r>
      <w:r>
        <w:rPr>
          <w:rFonts w:ascii="宋体" w:hAnsi="宋体"/>
          <w:b/>
          <w:sz w:val="28"/>
          <w:szCs w:val="28"/>
          <w:lang w:val="zh-CN"/>
        </w:rPr>
        <w:t>个。</w:t>
      </w:r>
    </w:p>
    <w:p w14:paraId="38345FB0">
      <w:pPr>
        <w:spacing w:line="360" w:lineRule="auto"/>
        <w:ind w:firstLine="482" w:firstLineChars="200"/>
        <w:rPr>
          <w:b/>
          <w:bCs/>
          <w:sz w:val="24"/>
          <w:szCs w:val="24"/>
        </w:rPr>
      </w:pPr>
      <w:r>
        <w:rPr>
          <w:rFonts w:hint="eastAsia"/>
          <w:b/>
          <w:bCs/>
          <w:sz w:val="24"/>
          <w:szCs w:val="24"/>
        </w:rPr>
        <w:t>招标方根据评标报告向需求公司提报评标结果以及应用方案，经需求公司审批后确定中标人。定标的最终解释权和自主权为招标方需求公司。</w:t>
      </w:r>
    </w:p>
    <w:p w14:paraId="5DC3D723">
      <w:pPr>
        <w:spacing w:line="360" w:lineRule="auto"/>
        <w:ind w:firstLine="482" w:firstLineChars="200"/>
        <w:rPr>
          <w:b/>
          <w:bCs/>
          <w:sz w:val="24"/>
          <w:szCs w:val="24"/>
        </w:rPr>
      </w:pPr>
      <w:r>
        <w:rPr>
          <w:rFonts w:hint="eastAsia"/>
          <w:b/>
          <w:bCs/>
          <w:sz w:val="24"/>
          <w:szCs w:val="24"/>
        </w:rPr>
        <w:t>如有必要招标方可决定到中标候选人处对招标文件要求进行实地评审和确认，投标方应予以配合，对存在投标方实际情况与投标文件不一致的，招标方有权中止招标程序及中标人相应合同，启用备选中标人执行或重新招标。</w:t>
      </w:r>
    </w:p>
    <w:p w14:paraId="7502A868">
      <w:pPr>
        <w:spacing w:line="360" w:lineRule="auto"/>
        <w:ind w:firstLine="482" w:firstLineChars="200"/>
        <w:rPr>
          <w:b/>
          <w:bCs/>
          <w:sz w:val="24"/>
          <w:szCs w:val="24"/>
        </w:rPr>
      </w:pPr>
      <w:r>
        <w:rPr>
          <w:rFonts w:hint="eastAsia" w:hAnsi="宋体"/>
          <w:b/>
          <w:bCs/>
          <w:sz w:val="24"/>
          <w:szCs w:val="24"/>
        </w:rPr>
        <w:t>在中标人无法通过现场审核或正常签订及履行合同的情况下，采购人有权依照中标候选人名单排序顺延其他中标候选人为中标人或者重新组织招标</w:t>
      </w:r>
      <w:r>
        <w:rPr>
          <w:rFonts w:hint="eastAsia" w:ascii="宋体" w:hAnsi="宋体" w:cs="宋体"/>
          <w:b/>
          <w:bCs/>
          <w:sz w:val="24"/>
          <w:szCs w:val="24"/>
        </w:rPr>
        <w:t>。</w:t>
      </w:r>
      <w:r>
        <w:rPr>
          <w:b/>
          <w:bCs/>
          <w:sz w:val="24"/>
          <w:szCs w:val="24"/>
        </w:rPr>
        <w:t>投标人参与本项目的投标，即视为同意上述</w:t>
      </w:r>
      <w:r>
        <w:rPr>
          <w:rFonts w:hint="eastAsia"/>
          <w:b/>
          <w:bCs/>
          <w:sz w:val="24"/>
          <w:szCs w:val="24"/>
        </w:rPr>
        <w:t>定标方式。</w:t>
      </w:r>
    </w:p>
    <w:p w14:paraId="587F9703">
      <w:pPr>
        <w:spacing w:line="360" w:lineRule="auto"/>
        <w:rPr>
          <w:rFonts w:hint="eastAsia" w:ascii="宋体" w:hAnsi="宋体"/>
          <w:b/>
          <w:sz w:val="28"/>
          <w:szCs w:val="28"/>
          <w:lang w:val="zh-CN"/>
        </w:rPr>
      </w:pPr>
      <w:r>
        <w:rPr>
          <w:rFonts w:hint="eastAsia" w:ascii="宋体" w:hAnsi="宋体"/>
          <w:b/>
          <w:sz w:val="28"/>
          <w:szCs w:val="28"/>
          <w:lang w:val="zh-CN"/>
        </w:rPr>
        <w:t>四、评审相关及追责：</w:t>
      </w:r>
    </w:p>
    <w:p w14:paraId="31D128E7">
      <w:pPr>
        <w:spacing w:line="360" w:lineRule="auto"/>
        <w:rPr>
          <w:rFonts w:hint="eastAsia" w:ascii="宋体" w:hAnsi="宋体"/>
          <w:b/>
          <w:bCs/>
          <w:sz w:val="24"/>
          <w:szCs w:val="24"/>
        </w:rPr>
      </w:pPr>
      <w:r>
        <w:rPr>
          <w:rFonts w:hint="eastAsia" w:ascii="宋体" w:hAnsi="宋体"/>
          <w:b/>
          <w:bCs/>
          <w:sz w:val="24"/>
          <w:szCs w:val="24"/>
        </w:rPr>
        <w:t>1、评标小组各专家按照依法、客观、公正、审慎的原则，根据招标文件及综合评审法方案所规定的评标项目、评标方法和评标标准进行独立评标；不得自主 改变或解释招标规则、自行编制评标标准和方法进行评审。不得私下接触投标人，不得接受任何单位或者个人明示或者暗示提出的倾向或者排斥特定投标人的要求；不得有其他不客观、不公正履行职务的行为。</w:t>
      </w:r>
    </w:p>
    <w:p w14:paraId="401B0574">
      <w:pPr>
        <w:spacing w:line="360" w:lineRule="auto"/>
        <w:rPr>
          <w:rFonts w:hint="eastAsia" w:ascii="宋体" w:hAnsi="宋体"/>
          <w:b/>
          <w:bCs/>
          <w:sz w:val="24"/>
          <w:szCs w:val="24"/>
        </w:rPr>
      </w:pPr>
      <w:r>
        <w:rPr>
          <w:rFonts w:hint="eastAsia" w:ascii="宋体" w:hAnsi="宋体"/>
          <w:b/>
          <w:bCs/>
          <w:sz w:val="24"/>
          <w:szCs w:val="24"/>
        </w:rPr>
        <w:t>2、招标中心可对评审专家的评审数据进行校对、核对，对明显不合实际的畸高、畸低的重大差异评分，可以要求相应的评审专家进行书面说明理由，并提请招标中心复核及采购决策专委会审批，必要时申请原评标小组进行重新评审。</w:t>
      </w:r>
    </w:p>
    <w:p w14:paraId="67ACFD51">
      <w:pPr>
        <w:spacing w:line="360" w:lineRule="auto"/>
        <w:rPr>
          <w:rFonts w:hint="eastAsia" w:ascii="宋体" w:hAnsi="宋体"/>
          <w:b/>
          <w:bCs/>
          <w:sz w:val="24"/>
          <w:szCs w:val="24"/>
        </w:rPr>
      </w:pPr>
      <w:r>
        <w:rPr>
          <w:rFonts w:hint="eastAsia" w:ascii="宋体" w:hAnsi="宋体"/>
          <w:b/>
          <w:bCs/>
          <w:sz w:val="24"/>
          <w:szCs w:val="24"/>
        </w:rPr>
        <w:t>3、标后履约管理由招标需求人或相应采购部门负责；针对中标供应商的技术T、质量Q、供应D、售后服务S方面，相应责任部门应建立起有效的合同履行和评价体系进行有效监管。若为中标人存在弄虚作假、隐瞒欺骗，造成严重的资质、技术、产品质量性能、交付供应、售后服务及其他承诺不履行等问题，将严格追究中标人的责任和造成损失的赔偿；若为评审小组评审专家由于自身疏忽、不认真评审、未有效识别、异常评分或错误评标，造成劣质中标厂商导入、侵害其他潜在投标方的合法权益的，将禁止其在一定期限内参加相应招标项目的评标或取消其单人评标小组成员的资格，相应推荐部门进行通报批评。</w:t>
      </w:r>
    </w:p>
    <w:p w14:paraId="7088E46E">
      <w:pPr>
        <w:spacing w:line="360" w:lineRule="auto"/>
        <w:rPr>
          <w:rFonts w:ascii="宋体" w:hAnsi="宋体"/>
          <w:b/>
          <w:bCs/>
          <w:sz w:val="24"/>
          <w:szCs w:val="24"/>
        </w:rPr>
      </w:pPr>
      <w:r>
        <w:rPr>
          <w:rFonts w:hint="eastAsia" w:ascii="宋体" w:hAnsi="宋体"/>
          <w:b/>
          <w:bCs/>
          <w:sz w:val="24"/>
          <w:szCs w:val="24"/>
        </w:rPr>
        <w:t>4、招标中心可组织对评审小组评标专家的履职情况进行评价，作为年度评标专家考核的依据，视阶段履职考核进行评判，确定评审资格延续。</w:t>
      </w:r>
    </w:p>
    <w:p w14:paraId="079AD10F">
      <w:pPr>
        <w:spacing w:line="360" w:lineRule="auto"/>
        <w:rPr>
          <w:rFonts w:hint="eastAsia" w:ascii="宋体" w:hAnsi="宋体"/>
          <w:b/>
          <w:bCs/>
          <w:sz w:val="24"/>
          <w:szCs w:val="24"/>
        </w:rPr>
      </w:pPr>
    </w:p>
    <w:sectPr>
      <w:pgSz w:w="11906" w:h="16838"/>
      <w:pgMar w:top="567" w:right="284" w:bottom="851"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E34570"/>
    <w:multiLevelType w:val="singleLevel"/>
    <w:tmpl w:val="B1E34570"/>
    <w:lvl w:ilvl="0" w:tentative="0">
      <w:start w:val="1"/>
      <w:numFmt w:val="decimal"/>
      <w:suff w:val="nothing"/>
      <w:lvlText w:val="%1、"/>
      <w:lvlJc w:val="left"/>
    </w:lvl>
  </w:abstractNum>
  <w:abstractNum w:abstractNumId="1">
    <w:nsid w:val="F9F9D6B1"/>
    <w:multiLevelType w:val="singleLevel"/>
    <w:tmpl w:val="F9F9D6B1"/>
    <w:lvl w:ilvl="0" w:tentative="0">
      <w:start w:val="1"/>
      <w:numFmt w:val="chineseCounting"/>
      <w:suff w:val="nothing"/>
      <w:lvlText w:val="（%1）"/>
      <w:lvlJc w:val="left"/>
      <w:rPr>
        <w:rFonts w:hint="eastAsia"/>
      </w:rPr>
    </w:lvl>
  </w:abstractNum>
  <w:abstractNum w:abstractNumId="2">
    <w:nsid w:val="7F836D36"/>
    <w:multiLevelType w:val="singleLevel"/>
    <w:tmpl w:val="7F836D36"/>
    <w:lvl w:ilvl="0" w:tentative="0">
      <w:start w:val="2"/>
      <w:numFmt w:val="chineseCounting"/>
      <w:suff w:val="nothing"/>
      <w:lvlText w:val="%1、"/>
      <w:lvlJc w:val="left"/>
      <w:rPr>
        <w:rFonts w:hint="eastAsia"/>
        <w:color w:val="auto"/>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37906"/>
    <w:rsid w:val="00043010"/>
    <w:rsid w:val="00052384"/>
    <w:rsid w:val="00073CAC"/>
    <w:rsid w:val="000C3DB0"/>
    <w:rsid w:val="000F4A51"/>
    <w:rsid w:val="001307B0"/>
    <w:rsid w:val="00142E42"/>
    <w:rsid w:val="00143264"/>
    <w:rsid w:val="00161C70"/>
    <w:rsid w:val="00172A27"/>
    <w:rsid w:val="001C34FE"/>
    <w:rsid w:val="001D336D"/>
    <w:rsid w:val="00200525"/>
    <w:rsid w:val="00214B8E"/>
    <w:rsid w:val="00223B7B"/>
    <w:rsid w:val="00230B74"/>
    <w:rsid w:val="00251918"/>
    <w:rsid w:val="00253779"/>
    <w:rsid w:val="00275DE6"/>
    <w:rsid w:val="00281AA3"/>
    <w:rsid w:val="002C4FA0"/>
    <w:rsid w:val="002F4E44"/>
    <w:rsid w:val="002F5B8B"/>
    <w:rsid w:val="00321756"/>
    <w:rsid w:val="003223B4"/>
    <w:rsid w:val="003536BD"/>
    <w:rsid w:val="00382ADE"/>
    <w:rsid w:val="003855FD"/>
    <w:rsid w:val="00385C1C"/>
    <w:rsid w:val="003A3465"/>
    <w:rsid w:val="003E3F8F"/>
    <w:rsid w:val="0040408C"/>
    <w:rsid w:val="004061DF"/>
    <w:rsid w:val="00420FE8"/>
    <w:rsid w:val="00441870"/>
    <w:rsid w:val="004622C9"/>
    <w:rsid w:val="0048237D"/>
    <w:rsid w:val="004D34D3"/>
    <w:rsid w:val="00502335"/>
    <w:rsid w:val="005529F3"/>
    <w:rsid w:val="00560705"/>
    <w:rsid w:val="005A3146"/>
    <w:rsid w:val="005A590D"/>
    <w:rsid w:val="005E5FA8"/>
    <w:rsid w:val="00617A00"/>
    <w:rsid w:val="00654F9A"/>
    <w:rsid w:val="00666BC1"/>
    <w:rsid w:val="006B176E"/>
    <w:rsid w:val="006B6A7B"/>
    <w:rsid w:val="007073C9"/>
    <w:rsid w:val="00723765"/>
    <w:rsid w:val="007242A9"/>
    <w:rsid w:val="00724CE0"/>
    <w:rsid w:val="007344EA"/>
    <w:rsid w:val="00773E90"/>
    <w:rsid w:val="00784EA9"/>
    <w:rsid w:val="00785111"/>
    <w:rsid w:val="007A1BA8"/>
    <w:rsid w:val="007A32BB"/>
    <w:rsid w:val="007E72ED"/>
    <w:rsid w:val="007F3C4F"/>
    <w:rsid w:val="00801D6E"/>
    <w:rsid w:val="008271CA"/>
    <w:rsid w:val="008450B7"/>
    <w:rsid w:val="00847DF7"/>
    <w:rsid w:val="00852DB8"/>
    <w:rsid w:val="00871A69"/>
    <w:rsid w:val="0096418D"/>
    <w:rsid w:val="0098516E"/>
    <w:rsid w:val="00985317"/>
    <w:rsid w:val="009B0972"/>
    <w:rsid w:val="009B26D1"/>
    <w:rsid w:val="009F1404"/>
    <w:rsid w:val="00A23D2B"/>
    <w:rsid w:val="00A377CA"/>
    <w:rsid w:val="00A646A2"/>
    <w:rsid w:val="00A81980"/>
    <w:rsid w:val="00A87666"/>
    <w:rsid w:val="00AB2F20"/>
    <w:rsid w:val="00AC13B3"/>
    <w:rsid w:val="00AD3A21"/>
    <w:rsid w:val="00AD7822"/>
    <w:rsid w:val="00AF7DA1"/>
    <w:rsid w:val="00B06412"/>
    <w:rsid w:val="00B55276"/>
    <w:rsid w:val="00B660DB"/>
    <w:rsid w:val="00B857B8"/>
    <w:rsid w:val="00BA3827"/>
    <w:rsid w:val="00BB45F0"/>
    <w:rsid w:val="00BE1AA5"/>
    <w:rsid w:val="00BF6E8D"/>
    <w:rsid w:val="00C26D29"/>
    <w:rsid w:val="00C31999"/>
    <w:rsid w:val="00C3537D"/>
    <w:rsid w:val="00C41956"/>
    <w:rsid w:val="00CB1185"/>
    <w:rsid w:val="00CB5CB7"/>
    <w:rsid w:val="00CC409F"/>
    <w:rsid w:val="00CF7EB6"/>
    <w:rsid w:val="00D02256"/>
    <w:rsid w:val="00D1191E"/>
    <w:rsid w:val="00D15507"/>
    <w:rsid w:val="00D44D39"/>
    <w:rsid w:val="00D53FDF"/>
    <w:rsid w:val="00D55399"/>
    <w:rsid w:val="00E44D16"/>
    <w:rsid w:val="00E91FEB"/>
    <w:rsid w:val="00EA09AD"/>
    <w:rsid w:val="00EA4FE3"/>
    <w:rsid w:val="00EE06F4"/>
    <w:rsid w:val="00EE3E81"/>
    <w:rsid w:val="00F01F45"/>
    <w:rsid w:val="00F33892"/>
    <w:rsid w:val="00F66A1B"/>
    <w:rsid w:val="00F72635"/>
    <w:rsid w:val="00FA301C"/>
    <w:rsid w:val="00FA6120"/>
    <w:rsid w:val="014F7976"/>
    <w:rsid w:val="022551BE"/>
    <w:rsid w:val="02BF0A2C"/>
    <w:rsid w:val="0F9D623B"/>
    <w:rsid w:val="1F4D36D5"/>
    <w:rsid w:val="23CE7352"/>
    <w:rsid w:val="28D64C70"/>
    <w:rsid w:val="2A9A6A3F"/>
    <w:rsid w:val="2C9C69E0"/>
    <w:rsid w:val="2CE360C1"/>
    <w:rsid w:val="308560FA"/>
    <w:rsid w:val="369B1F0C"/>
    <w:rsid w:val="40394773"/>
    <w:rsid w:val="464A4625"/>
    <w:rsid w:val="482960B1"/>
    <w:rsid w:val="526C65B2"/>
    <w:rsid w:val="55451126"/>
    <w:rsid w:val="5B606120"/>
    <w:rsid w:val="643C6F6D"/>
    <w:rsid w:val="66CA10FA"/>
    <w:rsid w:val="681475F9"/>
    <w:rsid w:val="69DC5C4C"/>
    <w:rsid w:val="6E1E52BE"/>
    <w:rsid w:val="70BF3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8">
    <w:name w:val="heading 3"/>
    <w:basedOn w:val="1"/>
    <w:next w:val="1"/>
    <w:qFormat/>
    <w:uiPriority w:val="99"/>
    <w:pPr>
      <w:keepNext/>
      <w:keepLines/>
      <w:spacing w:before="260" w:after="260"/>
      <w:jc w:val="center"/>
      <w:outlineLvl w:val="2"/>
    </w:pPr>
    <w:rPr>
      <w:rFonts w:ascii="Times New Roman" w:hAnsi="Times New Roman"/>
      <w:b/>
      <w:sz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rPr>
      <w:szCs w:val="24"/>
    </w:rPr>
  </w:style>
  <w:style w:type="paragraph" w:styleId="3">
    <w:name w:val="Body Text Indent"/>
    <w:basedOn w:val="1"/>
    <w:next w:val="1"/>
    <w:qFormat/>
    <w:uiPriority w:val="99"/>
    <w:pPr>
      <w:ind w:left="-4" w:leftChars="-2" w:firstLine="560" w:firstLineChars="200"/>
    </w:pPr>
    <w:rPr>
      <w:rFonts w:ascii="宋体" w:hAnsi="Verdana"/>
      <w:kern w:val="0"/>
      <w:sz w:val="28"/>
    </w:rPr>
  </w:style>
  <w:style w:type="paragraph" w:customStyle="1" w:styleId="4">
    <w:name w:val="样式 标题 3 + (中文) 黑体 小四 非加粗 段前: 7.8 磅 段后: 0 磅 行距: 固定值 20 磅_0"/>
    <w:basedOn w:val="5"/>
    <w:qFormat/>
    <w:uiPriority w:val="0"/>
    <w:pPr>
      <w:spacing w:line="400" w:lineRule="exact"/>
    </w:pPr>
    <w:rPr>
      <w:sz w:val="24"/>
      <w:szCs w:val="24"/>
    </w:rPr>
  </w:style>
  <w:style w:type="paragraph" w:customStyle="1" w:styleId="5">
    <w:name w:val="标题 3_0"/>
    <w:basedOn w:val="6"/>
    <w:next w:val="7"/>
    <w:qFormat/>
    <w:uiPriority w:val="0"/>
    <w:pPr>
      <w:keepNext/>
      <w:keepLines/>
      <w:spacing w:before="260" w:after="260" w:line="416" w:lineRule="auto"/>
      <w:outlineLvl w:val="2"/>
    </w:pPr>
    <w:rPr>
      <w:b/>
      <w:bCs/>
      <w:sz w:val="32"/>
      <w:szCs w:val="32"/>
    </w:rPr>
  </w:style>
  <w:style w:type="paragraph" w:customStyle="1" w:styleId="6">
    <w:name w:val="正文_0_0_0"/>
    <w:next w:val="2"/>
    <w:qFormat/>
    <w:uiPriority w:val="0"/>
    <w:pPr>
      <w:widowControl w:val="0"/>
      <w:jc w:val="both"/>
    </w:pPr>
    <w:rPr>
      <w:rFonts w:ascii="Times New Roman" w:hAnsi="Times New Roman" w:eastAsia="仿宋_GB2312" w:cs="Times New Roman"/>
      <w:kern w:val="2"/>
      <w:sz w:val="21"/>
      <w:szCs w:val="22"/>
      <w:lang w:val="en-US" w:eastAsia="zh-CN" w:bidi="ar-SA"/>
    </w:rPr>
  </w:style>
  <w:style w:type="paragraph" w:customStyle="1" w:styleId="7">
    <w:name w:val="正文_1"/>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9">
    <w:name w:val="annotation text"/>
    <w:basedOn w:val="1"/>
    <w:link w:val="25"/>
    <w:qFormat/>
    <w:uiPriority w:val="0"/>
    <w:pPr>
      <w:jc w:val="left"/>
    </w:pPr>
  </w:style>
  <w:style w:type="paragraph" w:styleId="10">
    <w:name w:val="Body Text"/>
    <w:basedOn w:val="1"/>
    <w:unhideWhenUsed/>
    <w:qFormat/>
    <w:uiPriority w:val="99"/>
    <w:pPr>
      <w:spacing w:line="380" w:lineRule="exact"/>
    </w:pPr>
    <w:rPr>
      <w:rFonts w:ascii="Times New Roman" w:hAnsi="Times New Roman"/>
      <w:sz w:val="24"/>
    </w:rPr>
  </w:style>
  <w:style w:type="paragraph" w:styleId="11">
    <w:name w:val="footer"/>
    <w:basedOn w:val="1"/>
    <w:link w:val="28"/>
    <w:qFormat/>
    <w:uiPriority w:val="0"/>
    <w:pPr>
      <w:tabs>
        <w:tab w:val="center" w:pos="4153"/>
        <w:tab w:val="right" w:pos="8306"/>
      </w:tabs>
      <w:snapToGrid w:val="0"/>
      <w:jc w:val="left"/>
    </w:pPr>
    <w:rPr>
      <w:sz w:val="18"/>
      <w:szCs w:val="18"/>
    </w:rPr>
  </w:style>
  <w:style w:type="paragraph" w:styleId="12">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widowControl/>
      <w:spacing w:before="100" w:beforeAutospacing="1" w:after="100" w:afterAutospacing="1"/>
      <w:jc w:val="left"/>
    </w:pPr>
    <w:rPr>
      <w:rFonts w:ascii="宋体" w:hAnsi="宋体"/>
      <w:kern w:val="0"/>
      <w:sz w:val="24"/>
    </w:rPr>
  </w:style>
  <w:style w:type="paragraph" w:styleId="14">
    <w:name w:val="annotation subject"/>
    <w:basedOn w:val="9"/>
    <w:next w:val="9"/>
    <w:link w:val="26"/>
    <w:qFormat/>
    <w:uiPriority w:val="0"/>
    <w:rPr>
      <w:b/>
      <w:bCs/>
    </w:rPr>
  </w:style>
  <w:style w:type="character" w:styleId="17">
    <w:name w:val="annotation reference"/>
    <w:basedOn w:val="16"/>
    <w:qFormat/>
    <w:uiPriority w:val="0"/>
    <w:rPr>
      <w:sz w:val="21"/>
      <w:szCs w:val="21"/>
    </w:rPr>
  </w:style>
  <w:style w:type="paragraph" w:styleId="18">
    <w:name w:val="List Paragraph"/>
    <w:basedOn w:val="1"/>
    <w:qFormat/>
    <w:uiPriority w:val="34"/>
    <w:pPr>
      <w:ind w:firstLine="420" w:firstLineChars="200"/>
    </w:pPr>
    <w:rPr>
      <w:rFonts w:ascii="Times New Roman" w:hAnsi="Times New Roman"/>
      <w:sz w:val="24"/>
      <w:szCs w:val="24"/>
    </w:rPr>
  </w:style>
  <w:style w:type="character" w:customStyle="1" w:styleId="19">
    <w:name w:val="font71"/>
    <w:basedOn w:val="16"/>
    <w:qFormat/>
    <w:uiPriority w:val="0"/>
    <w:rPr>
      <w:rFonts w:hint="eastAsia" w:ascii="宋体" w:hAnsi="宋体" w:eastAsia="宋体" w:cs="宋体"/>
      <w:color w:val="000000"/>
      <w:sz w:val="20"/>
      <w:szCs w:val="20"/>
      <w:u w:val="none"/>
    </w:rPr>
  </w:style>
  <w:style w:type="character" w:customStyle="1" w:styleId="20">
    <w:name w:val="font101"/>
    <w:basedOn w:val="16"/>
    <w:qFormat/>
    <w:uiPriority w:val="0"/>
    <w:rPr>
      <w:rFonts w:hint="eastAsia" w:ascii="宋体" w:hAnsi="宋体" w:eastAsia="宋体" w:cs="宋体"/>
      <w:color w:val="auto"/>
      <w:sz w:val="20"/>
      <w:szCs w:val="20"/>
      <w:u w:val="none"/>
    </w:rPr>
  </w:style>
  <w:style w:type="character" w:customStyle="1" w:styleId="21">
    <w:name w:val="font61"/>
    <w:basedOn w:val="16"/>
    <w:qFormat/>
    <w:uiPriority w:val="0"/>
    <w:rPr>
      <w:rFonts w:hint="eastAsia" w:ascii="宋体" w:hAnsi="宋体" w:eastAsia="宋体" w:cs="宋体"/>
      <w:color w:val="000000"/>
      <w:sz w:val="20"/>
      <w:szCs w:val="20"/>
      <w:u w:val="none"/>
    </w:rPr>
  </w:style>
  <w:style w:type="character" w:customStyle="1" w:styleId="22">
    <w:name w:val="font81"/>
    <w:basedOn w:val="16"/>
    <w:qFormat/>
    <w:uiPriority w:val="0"/>
    <w:rPr>
      <w:rFonts w:hint="eastAsia" w:ascii="宋体" w:hAnsi="宋体" w:eastAsia="宋体" w:cs="宋体"/>
      <w:b/>
      <w:color w:val="1F497D"/>
      <w:sz w:val="20"/>
      <w:szCs w:val="20"/>
      <w:u w:val="none"/>
    </w:rPr>
  </w:style>
  <w:style w:type="character" w:customStyle="1" w:styleId="23">
    <w:name w:val="font91"/>
    <w:basedOn w:val="16"/>
    <w:qFormat/>
    <w:uiPriority w:val="0"/>
    <w:rPr>
      <w:rFonts w:hint="eastAsia" w:ascii="宋体" w:hAnsi="宋体" w:eastAsia="宋体" w:cs="宋体"/>
      <w:b/>
      <w:color w:val="FF0000"/>
      <w:sz w:val="20"/>
      <w:szCs w:val="20"/>
      <w:u w:val="none"/>
    </w:rPr>
  </w:style>
  <w:style w:type="character" w:customStyle="1" w:styleId="24">
    <w:name w:val="font51"/>
    <w:basedOn w:val="16"/>
    <w:qFormat/>
    <w:uiPriority w:val="0"/>
    <w:rPr>
      <w:rFonts w:hint="eastAsia" w:ascii="宋体" w:hAnsi="宋体" w:eastAsia="宋体" w:cs="宋体"/>
      <w:color w:val="000000"/>
      <w:sz w:val="20"/>
      <w:szCs w:val="20"/>
      <w:u w:val="none"/>
    </w:rPr>
  </w:style>
  <w:style w:type="character" w:customStyle="1" w:styleId="25">
    <w:name w:val="批注文字 字符"/>
    <w:basedOn w:val="16"/>
    <w:link w:val="9"/>
    <w:qFormat/>
    <w:uiPriority w:val="0"/>
    <w:rPr>
      <w:rFonts w:ascii="Calibri" w:hAnsi="Calibri"/>
      <w:kern w:val="2"/>
      <w:sz w:val="21"/>
      <w:szCs w:val="22"/>
    </w:rPr>
  </w:style>
  <w:style w:type="character" w:customStyle="1" w:styleId="26">
    <w:name w:val="批注主题 字符"/>
    <w:basedOn w:val="25"/>
    <w:link w:val="14"/>
    <w:qFormat/>
    <w:uiPriority w:val="0"/>
    <w:rPr>
      <w:rFonts w:ascii="Calibri" w:hAnsi="Calibri"/>
      <w:b/>
      <w:bCs/>
      <w:kern w:val="2"/>
      <w:sz w:val="21"/>
      <w:szCs w:val="22"/>
    </w:rPr>
  </w:style>
  <w:style w:type="character" w:customStyle="1" w:styleId="27">
    <w:name w:val="页眉 字符"/>
    <w:basedOn w:val="16"/>
    <w:link w:val="12"/>
    <w:qFormat/>
    <w:uiPriority w:val="0"/>
    <w:rPr>
      <w:rFonts w:ascii="Calibri" w:hAnsi="Calibri"/>
      <w:kern w:val="2"/>
      <w:sz w:val="18"/>
      <w:szCs w:val="18"/>
    </w:rPr>
  </w:style>
  <w:style w:type="character" w:customStyle="1" w:styleId="28">
    <w:name w:val="页脚 字符"/>
    <w:basedOn w:val="16"/>
    <w:link w:val="11"/>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3238</Words>
  <Characters>3325</Characters>
  <Lines>50</Lines>
  <Paragraphs>14</Paragraphs>
  <TotalTime>3</TotalTime>
  <ScaleCrop>false</ScaleCrop>
  <LinksUpToDate>false</LinksUpToDate>
  <CharactersWithSpaces>3330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2025-03-17T05:47:00Z</dcterms:created>
  <dc:creator>chenyaohui</dc:creator>
  <cp:lastModifiedBy>彷若</cp:lastModifiedBy>
  <dcterms:modified xsi:type="dcterms:W3CDTF">2026-01-26T02:17:27Z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eyJoZGlkIjoiNDI1NGQ4MDY4NjMxYWVlMzc3ODM2NDE0MmU1ODUxYzYiLCJ1c2VySWQiOiIyNjA2MDE1MzUifQ==</vt:lpwstr>
  </property>
  <property fmtid="{D5CDD505-2E9C-101B-9397-08002B2CF9AE}" pid="4" name="ICV">
    <vt:lpwstr>5C19FCB820E44976A2CD1175BA89A17D_13</vt:lpwstr>
  </property>
</Properties>
</file>