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7DD88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  <w:bookmarkStart w:id="0" w:name="_Toc448"/>
      <w:bookmarkStart w:id="1" w:name="_Toc179467020"/>
    </w:p>
    <w:p w14:paraId="62DA8871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74B12F50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4C710F37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28619443" w14:textId="77777777" w:rsidR="00B872D7" w:rsidRDefault="00037826">
      <w:pPr>
        <w:spacing w:line="360" w:lineRule="auto"/>
        <w:jc w:val="center"/>
        <w:rPr>
          <w:rFonts w:ascii="宋体" w:hAnsi="宋体" w:hint="eastAsia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厦门金龙电机控制器</w:t>
      </w:r>
      <w:r>
        <w:rPr>
          <w:rFonts w:ascii="宋体" w:hAnsi="宋体" w:hint="eastAsia"/>
          <w:b/>
          <w:bCs/>
          <w:sz w:val="44"/>
          <w:szCs w:val="44"/>
        </w:rPr>
        <w:t>HIL</w:t>
      </w:r>
      <w:r>
        <w:rPr>
          <w:rFonts w:ascii="宋体" w:hAnsi="宋体" w:hint="eastAsia"/>
          <w:b/>
          <w:bCs/>
          <w:sz w:val="44"/>
          <w:szCs w:val="44"/>
        </w:rPr>
        <w:t>台架项目</w:t>
      </w:r>
    </w:p>
    <w:p w14:paraId="42819BAA" w14:textId="77777777" w:rsidR="00B872D7" w:rsidRDefault="00037826">
      <w:pPr>
        <w:spacing w:line="360" w:lineRule="auto"/>
        <w:jc w:val="center"/>
        <w:rPr>
          <w:rFonts w:ascii="宋体" w:hAnsi="宋体" w:hint="eastAsia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通用技术要求</w:t>
      </w:r>
      <w:bookmarkEnd w:id="0"/>
      <w:bookmarkEnd w:id="1"/>
    </w:p>
    <w:p w14:paraId="013DB3FC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372E7B40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0D3B22A4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30ACAB18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6B2C966D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2893C437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47DB4C1E" w14:textId="77777777" w:rsidR="00B872D7" w:rsidRDefault="00B872D7">
      <w:pPr>
        <w:spacing w:line="360" w:lineRule="auto"/>
        <w:jc w:val="center"/>
        <w:rPr>
          <w:rFonts w:ascii="宋体" w:hAnsi="宋体" w:hint="eastAsia"/>
          <w:sz w:val="44"/>
          <w:szCs w:val="44"/>
        </w:rPr>
      </w:pPr>
    </w:p>
    <w:p w14:paraId="43040872" w14:textId="77777777" w:rsidR="00B872D7" w:rsidRDefault="00037826">
      <w:pPr>
        <w:spacing w:line="360" w:lineRule="auto"/>
        <w:jc w:val="center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厦门金龙联合汽车工业有限公司</w:t>
      </w:r>
    </w:p>
    <w:p w14:paraId="0CC4C653" w14:textId="77777777" w:rsidR="00B872D7" w:rsidRDefault="00037826">
      <w:pPr>
        <w:spacing w:line="360" w:lineRule="auto"/>
        <w:jc w:val="center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工程研究院</w:t>
      </w:r>
    </w:p>
    <w:p w14:paraId="73F90783" w14:textId="77777777" w:rsidR="00B872D7" w:rsidRDefault="00037826">
      <w:pPr>
        <w:spacing w:line="360" w:lineRule="auto"/>
        <w:jc w:val="center"/>
        <w:rPr>
          <w:rFonts w:ascii="宋体" w:hAnsi="宋体" w:hint="eastAsia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2025</w:t>
      </w:r>
      <w:r>
        <w:rPr>
          <w:rFonts w:ascii="宋体" w:hAnsi="宋体" w:hint="eastAsia"/>
          <w:sz w:val="30"/>
          <w:szCs w:val="30"/>
        </w:rPr>
        <w:t>年</w:t>
      </w:r>
      <w:r>
        <w:rPr>
          <w:rFonts w:ascii="宋体" w:hAnsi="宋体" w:hint="eastAsia"/>
          <w:sz w:val="30"/>
          <w:szCs w:val="30"/>
        </w:rPr>
        <w:t>11</w:t>
      </w:r>
      <w:r>
        <w:rPr>
          <w:rFonts w:ascii="宋体" w:hAnsi="宋体" w:hint="eastAsia"/>
          <w:sz w:val="30"/>
          <w:szCs w:val="30"/>
        </w:rPr>
        <w:t>月</w:t>
      </w:r>
      <w:r>
        <w:rPr>
          <w:rFonts w:ascii="宋体" w:hAnsi="宋体" w:hint="eastAsia"/>
          <w:sz w:val="30"/>
          <w:szCs w:val="30"/>
        </w:rPr>
        <w:t>25</w:t>
      </w:r>
      <w:r>
        <w:rPr>
          <w:rFonts w:ascii="宋体" w:hAnsi="宋体" w:hint="eastAsia"/>
          <w:sz w:val="30"/>
          <w:szCs w:val="30"/>
        </w:rPr>
        <w:t>日</w:t>
      </w:r>
    </w:p>
    <w:p w14:paraId="33A2109F" w14:textId="77777777" w:rsidR="00B872D7" w:rsidRDefault="00B872D7">
      <w:pPr>
        <w:spacing w:line="360" w:lineRule="auto"/>
        <w:rPr>
          <w:rFonts w:ascii="宋体" w:hAnsi="宋体" w:hint="eastAsia"/>
        </w:rPr>
      </w:pPr>
    </w:p>
    <w:p w14:paraId="6B646A1E" w14:textId="77777777" w:rsidR="00B872D7" w:rsidRDefault="00B872D7">
      <w:pPr>
        <w:spacing w:line="360" w:lineRule="auto"/>
        <w:rPr>
          <w:rFonts w:ascii="宋体" w:hAnsi="宋体" w:hint="eastAsia"/>
        </w:rPr>
        <w:sectPr w:rsidR="00B872D7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647F03F" w14:textId="77777777" w:rsidR="00B872D7" w:rsidRDefault="00037826">
      <w:pPr>
        <w:spacing w:line="360" w:lineRule="auto"/>
        <w:jc w:val="center"/>
        <w:rPr>
          <w:rFonts w:ascii="宋体" w:hAnsi="宋体" w:hint="eastAsia"/>
          <w:sz w:val="36"/>
          <w:szCs w:val="36"/>
        </w:rPr>
      </w:pPr>
      <w:r>
        <w:rPr>
          <w:rFonts w:ascii="宋体" w:hAnsi="宋体"/>
          <w:sz w:val="36"/>
          <w:szCs w:val="36"/>
        </w:rPr>
        <w:lastRenderedPageBreak/>
        <w:t>目</w:t>
      </w:r>
      <w:r>
        <w:rPr>
          <w:rFonts w:ascii="宋体" w:hAnsi="宋体" w:hint="eastAsia"/>
          <w:sz w:val="36"/>
          <w:szCs w:val="36"/>
        </w:rPr>
        <w:t xml:space="preserve">    </w:t>
      </w:r>
      <w:r>
        <w:rPr>
          <w:rFonts w:ascii="宋体" w:hAnsi="宋体"/>
          <w:sz w:val="36"/>
          <w:szCs w:val="36"/>
        </w:rPr>
        <w:t>录</w:t>
      </w:r>
    </w:p>
    <w:p w14:paraId="0B8A2D07" w14:textId="6F64D99C" w:rsidR="00037826" w:rsidRPr="00037826" w:rsidRDefault="00037826" w:rsidP="00037826">
      <w:pPr>
        <w:pStyle w:val="TOC2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r w:rsidRPr="00037826">
        <w:rPr>
          <w:rFonts w:ascii="宋体" w:hAnsi="宋体" w:cs="宋体"/>
          <w:sz w:val="24"/>
          <w:szCs w:val="24"/>
          <w:lang w:eastAsia="en-US"/>
        </w:rPr>
        <w:fldChar w:fldCharType="begin"/>
      </w:r>
      <w:r w:rsidRPr="00037826">
        <w:rPr>
          <w:rFonts w:ascii="宋体" w:hAnsi="宋体"/>
          <w:sz w:val="24"/>
          <w:szCs w:val="24"/>
        </w:rPr>
        <w:instrText xml:space="preserve"> TOC \o "1-4" \h \z \u </w:instrText>
      </w:r>
      <w:r w:rsidRPr="00037826">
        <w:rPr>
          <w:rFonts w:ascii="宋体" w:hAnsi="宋体" w:cs="宋体"/>
          <w:sz w:val="24"/>
          <w:szCs w:val="24"/>
          <w:lang w:eastAsia="en-US"/>
        </w:rPr>
        <w:fldChar w:fldCharType="separate"/>
      </w:r>
      <w:hyperlink w:anchor="_Toc215143069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1. 测试项目目标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_Toc215143069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3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4EEE09F5" w14:textId="2B34704C" w:rsidR="00037826" w:rsidRPr="00037826" w:rsidRDefault="00037826" w:rsidP="00037826">
      <w:pPr>
        <w:pStyle w:val="TOC2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0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2. 总体要求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_Toc215143070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3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1D00E07C" w14:textId="3EBC479D" w:rsidR="00037826" w:rsidRPr="00037826" w:rsidRDefault="00037826" w:rsidP="00037826">
      <w:pPr>
        <w:pStyle w:val="TOC2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1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3. 产品交期要求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_Toc215143071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4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45B0BEC7" w14:textId="18A1E506" w:rsidR="00037826" w:rsidRPr="00037826" w:rsidRDefault="00037826" w:rsidP="00037826">
      <w:pPr>
        <w:pStyle w:val="TOC2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2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4. 项目调试、培训、资料及服务要求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_Toc215143072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4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2893A7F2" w14:textId="2E9DE250" w:rsidR="00037826" w:rsidRPr="00037826" w:rsidRDefault="00037826" w:rsidP="00037826">
      <w:pPr>
        <w:pStyle w:val="TOC3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3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1) 闭环调试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_Toc215143073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4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439EA59D" w14:textId="69511088" w:rsidR="00037826" w:rsidRPr="00037826" w:rsidRDefault="00037826" w:rsidP="00037826">
      <w:pPr>
        <w:pStyle w:val="TOC3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4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2) 技术培训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_Toc215143074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5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38444271" w14:textId="5EBC3D6B" w:rsidR="00037826" w:rsidRPr="00037826" w:rsidRDefault="00037826" w:rsidP="00037826">
      <w:pPr>
        <w:pStyle w:val="TOC3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5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3) 资料的提供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_Toc215143075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5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2DB5AAB0" w14:textId="1F31B252" w:rsidR="00037826" w:rsidRPr="00037826" w:rsidRDefault="00037826" w:rsidP="00037826">
      <w:pPr>
        <w:pStyle w:val="TOC3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6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4) 售后服务和质量保证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_Toc215143076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5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2D620046" w14:textId="2926FF56" w:rsidR="00037826" w:rsidRPr="00037826" w:rsidRDefault="00037826" w:rsidP="00037826">
      <w:pPr>
        <w:pStyle w:val="TOC3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 w:hint="eastAsia"/>
          <w:noProof/>
          <w:sz w:val="24"/>
          <w:szCs w:val="24"/>
          <w14:ligatures w14:val="standardContextual"/>
        </w:rPr>
      </w:pPr>
      <w:hyperlink w:anchor="_Toc215143077" w:history="1">
        <w:r w:rsidRPr="00037826">
          <w:rPr>
            <w:rStyle w:val="aff2"/>
            <w:rFonts w:ascii="宋体" w:hAnsi="宋体" w:hint="eastAsia"/>
            <w:noProof/>
            <w:sz w:val="24"/>
            <w:szCs w:val="24"/>
          </w:rPr>
          <w:t>5) 配套设备清单</w:t>
        </w:r>
        <w:r w:rsidRPr="00037826">
          <w:rPr>
            <w:rFonts w:hint="eastAsia"/>
            <w:noProof/>
            <w:webHidden/>
            <w:sz w:val="24"/>
            <w:szCs w:val="24"/>
          </w:rPr>
          <w:tab/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begin"/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noProof/>
            <w:webHidden/>
            <w:sz w:val="24"/>
            <w:szCs w:val="24"/>
          </w:rPr>
          <w:instrText>PAGEREF _Toc215143077 \h</w:instrText>
        </w:r>
        <w:r w:rsidRPr="00037826">
          <w:rPr>
            <w:rFonts w:hint="eastAsia"/>
            <w:noProof/>
            <w:webHidden/>
            <w:sz w:val="24"/>
            <w:szCs w:val="24"/>
          </w:rPr>
          <w:instrText xml:space="preserve"> </w:instrText>
        </w:r>
        <w:r w:rsidRPr="00037826">
          <w:rPr>
            <w:rFonts w:hint="eastAsia"/>
            <w:noProof/>
            <w:webHidden/>
            <w:sz w:val="24"/>
            <w:szCs w:val="24"/>
          </w:rPr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separate"/>
        </w:r>
        <w:r w:rsidRPr="00037826">
          <w:rPr>
            <w:noProof/>
            <w:webHidden/>
            <w:sz w:val="24"/>
            <w:szCs w:val="24"/>
          </w:rPr>
          <w:t>5</w:t>
        </w:r>
        <w:r w:rsidRPr="00037826">
          <w:rPr>
            <w:rFonts w:hint="eastAsia"/>
            <w:noProof/>
            <w:webHidden/>
            <w:sz w:val="24"/>
            <w:szCs w:val="24"/>
          </w:rPr>
          <w:fldChar w:fldCharType="end"/>
        </w:r>
      </w:hyperlink>
    </w:p>
    <w:p w14:paraId="488434F6" w14:textId="23B14B35" w:rsidR="00B872D7" w:rsidRDefault="00037826" w:rsidP="00037826">
      <w:pPr>
        <w:pStyle w:val="TOC10"/>
        <w:spacing w:before="0" w:line="360" w:lineRule="auto"/>
        <w:ind w:left="0" w:firstLineChars="200" w:firstLine="480"/>
        <w:jc w:val="center"/>
        <w:rPr>
          <w:rFonts w:ascii="宋体" w:hAnsi="宋体" w:cs="仿宋" w:hint="eastAsia"/>
        </w:rPr>
        <w:sectPr w:rsidR="00B872D7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37826">
        <w:rPr>
          <w:rFonts w:ascii="宋体" w:hAnsi="宋体"/>
          <w:sz w:val="24"/>
          <w:szCs w:val="24"/>
        </w:rPr>
        <w:fldChar w:fldCharType="end"/>
      </w:r>
    </w:p>
    <w:p w14:paraId="12F093F1" w14:textId="77777777" w:rsidR="00B872D7" w:rsidRDefault="00037826">
      <w:pPr>
        <w:pStyle w:val="20"/>
        <w:numPr>
          <w:ilvl w:val="0"/>
          <w:numId w:val="4"/>
        </w:numPr>
        <w:spacing w:before="0" w:after="0" w:line="360" w:lineRule="auto"/>
        <w:rPr>
          <w:rFonts w:ascii="宋体" w:eastAsia="宋体" w:hAnsi="宋体" w:hint="eastAsia"/>
          <w:color w:val="auto"/>
          <w:sz w:val="36"/>
          <w:szCs w:val="36"/>
        </w:rPr>
      </w:pPr>
      <w:bookmarkStart w:id="2" w:name="_Toc179467021"/>
      <w:bookmarkStart w:id="3" w:name="_Toc215143069"/>
      <w:r>
        <w:rPr>
          <w:rFonts w:ascii="宋体" w:eastAsia="宋体" w:hAnsi="宋体" w:hint="eastAsia"/>
          <w:color w:val="auto"/>
          <w:sz w:val="36"/>
          <w:szCs w:val="36"/>
        </w:rPr>
        <w:lastRenderedPageBreak/>
        <w:t>测试项目目标</w:t>
      </w:r>
      <w:bookmarkEnd w:id="2"/>
      <w:bookmarkEnd w:id="3"/>
    </w:p>
    <w:p w14:paraId="32683E79" w14:textId="77777777" w:rsidR="00B872D7" w:rsidRDefault="00037826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厦门金龙联合汽车工业有限公司</w:t>
      </w:r>
      <w:r>
        <w:rPr>
          <w:rFonts w:ascii="宋体" w:hAnsi="宋体"/>
          <w:sz w:val="24"/>
          <w:szCs w:val="24"/>
        </w:rPr>
        <w:t>根据研发和测试要求，采购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套</w:t>
      </w:r>
      <w:r>
        <w:rPr>
          <w:rFonts w:ascii="宋体" w:hAnsi="宋体"/>
          <w:sz w:val="24"/>
          <w:szCs w:val="24"/>
        </w:rPr>
        <w:t>HIL</w:t>
      </w:r>
      <w:r>
        <w:rPr>
          <w:rFonts w:ascii="宋体" w:hAnsi="宋体"/>
          <w:sz w:val="24"/>
          <w:szCs w:val="24"/>
        </w:rPr>
        <w:t>系统</w:t>
      </w:r>
      <w:r>
        <w:rPr>
          <w:rFonts w:ascii="宋体" w:hAnsi="宋体" w:hint="eastAsia"/>
          <w:sz w:val="24"/>
          <w:szCs w:val="24"/>
        </w:rPr>
        <w:t>，应用于整车控制器和底盘控制器的软件调试</w:t>
      </w:r>
      <w:r>
        <w:rPr>
          <w:rFonts w:ascii="宋体" w:hAnsi="宋体"/>
          <w:sz w:val="24"/>
          <w:szCs w:val="24"/>
        </w:rPr>
        <w:t>。此</w:t>
      </w:r>
      <w:r>
        <w:rPr>
          <w:rFonts w:ascii="宋体" w:hAnsi="宋体"/>
          <w:sz w:val="24"/>
          <w:szCs w:val="24"/>
        </w:rPr>
        <w:t>HIL</w:t>
      </w:r>
      <w:r>
        <w:rPr>
          <w:rFonts w:ascii="宋体" w:hAnsi="宋体"/>
          <w:sz w:val="24"/>
          <w:szCs w:val="24"/>
        </w:rPr>
        <w:t>系统须能覆盖如下</w:t>
      </w:r>
      <w:r>
        <w:rPr>
          <w:rFonts w:ascii="宋体" w:hAnsi="宋体" w:hint="eastAsia"/>
          <w:sz w:val="24"/>
          <w:szCs w:val="24"/>
        </w:rPr>
        <w:t>功能</w:t>
      </w:r>
      <w:r>
        <w:rPr>
          <w:rFonts w:ascii="宋体" w:hAnsi="宋体"/>
          <w:sz w:val="24"/>
          <w:szCs w:val="24"/>
        </w:rPr>
        <w:t>测试需要：</w:t>
      </w:r>
    </w:p>
    <w:p w14:paraId="64316B17" w14:textId="77777777" w:rsidR="00B872D7" w:rsidRDefault="0003782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能够仿真待测控制器功能实现相关的所有输入信号，采集待测控制器功能实现相关的所有输出信号，包括硬线信号和</w:t>
      </w:r>
      <w:r>
        <w:rPr>
          <w:rFonts w:ascii="宋体" w:hAnsi="宋体" w:hint="eastAsia"/>
          <w:color w:val="000000"/>
          <w:sz w:val="24"/>
          <w:szCs w:val="24"/>
        </w:rPr>
        <w:t>C</w:t>
      </w:r>
      <w:r>
        <w:rPr>
          <w:rFonts w:ascii="宋体" w:hAnsi="宋体"/>
          <w:color w:val="000000"/>
          <w:sz w:val="24"/>
          <w:szCs w:val="24"/>
        </w:rPr>
        <w:t>AN</w:t>
      </w:r>
      <w:r>
        <w:rPr>
          <w:rFonts w:ascii="宋体" w:hAnsi="宋体"/>
          <w:color w:val="000000"/>
          <w:sz w:val="24"/>
          <w:szCs w:val="24"/>
        </w:rPr>
        <w:t>总线信号；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14:paraId="56E647F7" w14:textId="77777777" w:rsidR="00B872D7" w:rsidRDefault="0003782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能够通过数学模型模拟被控系统的各种运行工况，满足功能测试需要；</w:t>
      </w:r>
    </w:p>
    <w:p w14:paraId="5B63BD2C" w14:textId="77777777" w:rsidR="00B872D7" w:rsidRDefault="0003782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具备故障注入功能，能够模拟电气故障、被控系统故障等；</w:t>
      </w:r>
    </w:p>
    <w:p w14:paraId="1C5D3726" w14:textId="77777777" w:rsidR="00B872D7" w:rsidRDefault="0003782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基于图形化操作软件，可实现手动测试、自动化测试；</w:t>
      </w:r>
    </w:p>
    <w:p w14:paraId="3F197170" w14:textId="77777777" w:rsidR="00B872D7" w:rsidRDefault="0003782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设备应满足控制器的以下功能测试需求</w:t>
      </w:r>
      <w:r>
        <w:rPr>
          <w:rFonts w:ascii="宋体" w:hAnsi="宋体"/>
          <w:color w:val="000000"/>
          <w:sz w:val="24"/>
          <w:szCs w:val="24"/>
        </w:rPr>
        <w:t xml:space="preserve">: </w:t>
      </w:r>
    </w:p>
    <w:p w14:paraId="4E21BE36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模拟加速踏板信号，其他电压型传感器信号等</w:t>
      </w:r>
      <w:r>
        <w:rPr>
          <w:rFonts w:ascii="宋体" w:hAnsi="宋体"/>
          <w:color w:val="000000"/>
          <w:sz w:val="24"/>
          <w:szCs w:val="24"/>
        </w:rPr>
        <w:t>；</w:t>
      </w:r>
    </w:p>
    <w:p w14:paraId="7F8B065D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采集传感器供电信号；</w:t>
      </w:r>
    </w:p>
    <w:p w14:paraId="13801B71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模拟唤醒、点火、刹车开关常开</w:t>
      </w:r>
      <w:r>
        <w:rPr>
          <w:rFonts w:ascii="宋体" w:hAnsi="宋体" w:hint="eastAsia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常闭，</w:t>
      </w:r>
      <w:r>
        <w:rPr>
          <w:rFonts w:ascii="宋体" w:hAnsi="宋体" w:hint="eastAsia"/>
          <w:color w:val="000000"/>
          <w:sz w:val="24"/>
          <w:szCs w:val="24"/>
        </w:rPr>
        <w:t>EV</w:t>
      </w:r>
      <w:r>
        <w:rPr>
          <w:rFonts w:ascii="宋体" w:hAnsi="宋体" w:hint="eastAsia"/>
          <w:color w:val="000000"/>
          <w:sz w:val="24"/>
          <w:szCs w:val="24"/>
        </w:rPr>
        <w:t>开关、手刹开关、碰撞、高压互锁、负载反馈等数字信号</w:t>
      </w:r>
      <w:r>
        <w:rPr>
          <w:rFonts w:ascii="宋体" w:hAnsi="宋体"/>
          <w:color w:val="000000"/>
          <w:sz w:val="24"/>
          <w:szCs w:val="24"/>
        </w:rPr>
        <w:t>；</w:t>
      </w:r>
    </w:p>
    <w:p w14:paraId="34A9890E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采集负载的控制指令，如风扇，水泵，继电器等</w:t>
      </w:r>
      <w:r>
        <w:rPr>
          <w:rFonts w:ascii="宋体" w:hAnsi="宋体" w:hint="eastAsia"/>
          <w:color w:val="000000"/>
          <w:sz w:val="24"/>
          <w:szCs w:val="24"/>
        </w:rPr>
        <w:t>VCU</w:t>
      </w:r>
      <w:r>
        <w:rPr>
          <w:rFonts w:ascii="宋体" w:hAnsi="宋体" w:hint="eastAsia"/>
          <w:color w:val="000000"/>
          <w:sz w:val="24"/>
          <w:szCs w:val="24"/>
        </w:rPr>
        <w:t>发出的负载控制指令</w:t>
      </w:r>
      <w:r>
        <w:rPr>
          <w:rFonts w:ascii="宋体" w:hAnsi="宋体"/>
          <w:color w:val="000000"/>
          <w:sz w:val="24"/>
          <w:szCs w:val="24"/>
        </w:rPr>
        <w:t>；</w:t>
      </w:r>
    </w:p>
    <w:p w14:paraId="66FBB11B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模拟温度传感器信号；</w:t>
      </w:r>
    </w:p>
    <w:p w14:paraId="60C63C89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整车</w:t>
      </w:r>
      <w:r>
        <w:rPr>
          <w:rFonts w:ascii="宋体" w:hAnsi="宋体" w:hint="eastAsia"/>
          <w:color w:val="000000"/>
          <w:sz w:val="24"/>
          <w:szCs w:val="24"/>
        </w:rPr>
        <w:t>CAN/</w:t>
      </w:r>
      <w:r>
        <w:rPr>
          <w:rFonts w:ascii="宋体" w:hAnsi="宋体" w:hint="eastAsia"/>
          <w:color w:val="000000"/>
          <w:sz w:val="24"/>
          <w:szCs w:val="24"/>
        </w:rPr>
        <w:t>底盘</w:t>
      </w:r>
      <w:r>
        <w:rPr>
          <w:rFonts w:ascii="宋体" w:hAnsi="宋体" w:hint="eastAsia"/>
          <w:color w:val="000000"/>
          <w:sz w:val="24"/>
          <w:szCs w:val="24"/>
        </w:rPr>
        <w:t>CAN</w:t>
      </w:r>
      <w:r>
        <w:rPr>
          <w:rFonts w:ascii="宋体" w:hAnsi="宋体" w:hint="eastAsia"/>
          <w:color w:val="000000"/>
          <w:sz w:val="24"/>
          <w:szCs w:val="24"/>
        </w:rPr>
        <w:t>报文收发；</w:t>
      </w:r>
    </w:p>
    <w:p w14:paraId="300D4AE8" w14:textId="77777777" w:rsidR="00B872D7" w:rsidRDefault="00037826">
      <w:pPr>
        <w:pStyle w:val="aff6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567" w:firstLineChars="200" w:firstLine="480"/>
        <w:contextualSpacing w:val="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加入</w:t>
      </w:r>
      <w:r>
        <w:rPr>
          <w:rFonts w:ascii="宋体" w:hAnsi="宋体" w:hint="eastAsia"/>
          <w:color w:val="000000"/>
          <w:sz w:val="24"/>
          <w:szCs w:val="24"/>
        </w:rPr>
        <w:t>VCU HIL</w:t>
      </w:r>
      <w:r>
        <w:rPr>
          <w:rFonts w:ascii="宋体" w:hAnsi="宋体" w:hint="eastAsia"/>
          <w:color w:val="000000"/>
          <w:sz w:val="24"/>
          <w:szCs w:val="24"/>
        </w:rPr>
        <w:t>被控对象模型可以实现</w:t>
      </w:r>
      <w:r>
        <w:rPr>
          <w:rFonts w:ascii="宋体" w:hAnsi="宋体" w:hint="eastAsia"/>
          <w:color w:val="000000"/>
          <w:sz w:val="24"/>
          <w:szCs w:val="24"/>
        </w:rPr>
        <w:t>VCU</w:t>
      </w:r>
      <w:r>
        <w:rPr>
          <w:rFonts w:ascii="宋体" w:hAnsi="宋体" w:hint="eastAsia"/>
          <w:color w:val="000000"/>
          <w:sz w:val="24"/>
          <w:szCs w:val="24"/>
        </w:rPr>
        <w:t>的休眠唤醒，高压上下电，驾驶员意图识别，档位切换，模式切换，行车，</w:t>
      </w:r>
      <w:proofErr w:type="gramStart"/>
      <w:r>
        <w:rPr>
          <w:rFonts w:ascii="宋体" w:hAnsi="宋体" w:hint="eastAsia"/>
          <w:color w:val="000000"/>
          <w:sz w:val="24"/>
          <w:szCs w:val="24"/>
        </w:rPr>
        <w:t>蠕</w:t>
      </w:r>
      <w:proofErr w:type="gramEnd"/>
      <w:r>
        <w:rPr>
          <w:rFonts w:ascii="宋体" w:hAnsi="宋体" w:hint="eastAsia"/>
          <w:color w:val="000000"/>
          <w:sz w:val="24"/>
          <w:szCs w:val="24"/>
        </w:rPr>
        <w:t>行，定速巡航，</w:t>
      </w:r>
      <w:proofErr w:type="gramStart"/>
      <w:r>
        <w:rPr>
          <w:rFonts w:ascii="宋体" w:hAnsi="宋体" w:hint="eastAsia"/>
          <w:color w:val="000000"/>
          <w:sz w:val="24"/>
          <w:szCs w:val="24"/>
        </w:rPr>
        <w:t>升扭降扭</w:t>
      </w:r>
      <w:proofErr w:type="gramEnd"/>
      <w:r>
        <w:rPr>
          <w:rFonts w:ascii="宋体" w:hAnsi="宋体" w:hint="eastAsia"/>
          <w:color w:val="000000"/>
          <w:sz w:val="24"/>
          <w:szCs w:val="24"/>
        </w:rPr>
        <w:t>，快充，慢充，故障等功能的调试与测试。</w:t>
      </w:r>
    </w:p>
    <w:p w14:paraId="08FF78C8" w14:textId="77777777" w:rsidR="00B872D7" w:rsidRDefault="00037826">
      <w:pPr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可支持扩展升级为底盘控制器的测试，可对转向、制动以及悬架控制器相关功能进行验证。</w:t>
      </w:r>
    </w:p>
    <w:p w14:paraId="4BC9439B" w14:textId="77777777" w:rsidR="00B872D7" w:rsidRDefault="00037826">
      <w:pPr>
        <w:pStyle w:val="20"/>
        <w:numPr>
          <w:ilvl w:val="0"/>
          <w:numId w:val="4"/>
        </w:numPr>
        <w:spacing w:before="0" w:after="0" w:line="360" w:lineRule="auto"/>
        <w:rPr>
          <w:rFonts w:ascii="宋体" w:eastAsia="宋体" w:hAnsi="宋体" w:hint="eastAsia"/>
          <w:color w:val="auto"/>
          <w:sz w:val="36"/>
          <w:szCs w:val="36"/>
        </w:rPr>
      </w:pPr>
      <w:bookmarkStart w:id="4" w:name="_Toc179467022"/>
      <w:bookmarkStart w:id="5" w:name="_Toc215143070"/>
      <w:r>
        <w:rPr>
          <w:rFonts w:ascii="宋体" w:eastAsia="宋体" w:hAnsi="宋体" w:hint="eastAsia"/>
          <w:color w:val="auto"/>
          <w:sz w:val="36"/>
          <w:szCs w:val="36"/>
        </w:rPr>
        <w:t>总体要求</w:t>
      </w:r>
      <w:bookmarkEnd w:id="4"/>
      <w:bookmarkEnd w:id="5"/>
    </w:p>
    <w:p w14:paraId="03337EEF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质保期</w:t>
      </w:r>
      <w:r>
        <w:rPr>
          <w:rFonts w:ascii="宋体" w:hAnsi="宋体" w:hint="eastAsia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年；</w:t>
      </w:r>
    </w:p>
    <w:p w14:paraId="69994055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设计集成美观整洁，且兼具功能拓展能力，</w:t>
      </w: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系统需采用标准机柜系统，相关组件集成在机柜中，该机柜面板布置规整，横平竖直，机柜内走线规整，符合相关电气接线法规要求；</w:t>
      </w:r>
    </w:p>
    <w:p w14:paraId="3745EED9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机柜底部需配置滚轮并可锁止，方便安装及拆卸且整个机柜便于移动</w:t>
      </w:r>
      <w:r>
        <w:rPr>
          <w:rFonts w:ascii="宋体" w:hAnsi="宋体"/>
          <w:color w:val="000000"/>
          <w:sz w:val="24"/>
          <w:szCs w:val="24"/>
        </w:rPr>
        <w:t>；</w:t>
      </w:r>
    </w:p>
    <w:p w14:paraId="10E8CFE1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HIL</w:t>
      </w:r>
      <w:r>
        <w:rPr>
          <w:rFonts w:ascii="宋体" w:hAnsi="宋体" w:hint="eastAsia"/>
          <w:color w:val="000000"/>
          <w:sz w:val="24"/>
          <w:szCs w:val="24"/>
        </w:rPr>
        <w:t>机柜通过外延线束连接被测试控制器，外延线束由</w:t>
      </w: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供应商提供</w:t>
      </w:r>
      <w:r>
        <w:rPr>
          <w:rFonts w:ascii="宋体" w:hAnsi="宋体"/>
          <w:color w:val="000000"/>
          <w:sz w:val="24"/>
          <w:szCs w:val="24"/>
        </w:rPr>
        <w:t>；</w:t>
      </w:r>
    </w:p>
    <w:p w14:paraId="4E7BA46F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机柜设计接插件，通过线束连接到具体的零部件，接插件接口</w:t>
      </w:r>
      <w:r>
        <w:rPr>
          <w:rFonts w:ascii="宋体" w:hAnsi="宋体" w:hint="eastAsia"/>
          <w:color w:val="000000"/>
          <w:sz w:val="24"/>
          <w:szCs w:val="24"/>
        </w:rPr>
        <w:t>Pin</w:t>
      </w:r>
      <w:r>
        <w:rPr>
          <w:rFonts w:ascii="宋体" w:hAnsi="宋体" w:hint="eastAsia"/>
          <w:color w:val="000000"/>
          <w:sz w:val="24"/>
          <w:szCs w:val="24"/>
        </w:rPr>
        <w:t>脚定义保持和被测控制器一致，外部线束由甲方设计提供</w:t>
      </w:r>
      <w:r>
        <w:rPr>
          <w:rFonts w:ascii="宋体" w:hAnsi="宋体"/>
          <w:color w:val="000000"/>
          <w:sz w:val="24"/>
          <w:szCs w:val="24"/>
        </w:rPr>
        <w:t>；</w:t>
      </w:r>
    </w:p>
    <w:p w14:paraId="78600AEA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机柜的设计，安装及开闭环调试由</w:t>
      </w: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台架供应商提供；</w:t>
      </w:r>
    </w:p>
    <w:p w14:paraId="178FB5FC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供应商需要提供必要的培训，培训完成后，金龙工程师能独立完成操作；</w:t>
      </w:r>
    </w:p>
    <w:p w14:paraId="7F454B80" w14:textId="77777777" w:rsidR="00B872D7" w:rsidRPr="00037826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 w:rsidRPr="00037826">
        <w:rPr>
          <w:rFonts w:ascii="宋体" w:hAnsi="宋体" w:hint="eastAsia"/>
          <w:color w:val="000000"/>
          <w:sz w:val="24"/>
          <w:szCs w:val="24"/>
        </w:rPr>
        <w:t>HIL</w:t>
      </w:r>
      <w:r w:rsidRPr="00037826">
        <w:rPr>
          <w:rFonts w:ascii="宋体" w:hAnsi="宋体" w:hint="eastAsia"/>
          <w:color w:val="000000"/>
          <w:sz w:val="24"/>
          <w:szCs w:val="24"/>
        </w:rPr>
        <w:t>的开发周期需要满足金龙项目时间节点要求，供应商在反馈方案时，需根据实际情况估算各工作所需时间并提供初步的产品交付计划；</w:t>
      </w:r>
    </w:p>
    <w:p w14:paraId="206E6E3B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涉及到的软件，需要提供终身使用权；需要付费的软件，必须明确付费周期或使用注意事项；</w:t>
      </w:r>
    </w:p>
    <w:p w14:paraId="4787834F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外部供电由甲方提供，</w:t>
      </w: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机柜的功率需要提前和甲方进行确认；</w:t>
      </w:r>
    </w:p>
    <w:p w14:paraId="34C5382E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安全及可靠性要求：</w:t>
      </w:r>
    </w:p>
    <w:p w14:paraId="0D090552" w14:textId="77777777" w:rsidR="00B872D7" w:rsidRDefault="0003782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需安全可靠的运行，</w:t>
      </w: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机柜需要有必要的急停按键，意外情况下能对整个</w:t>
      </w:r>
      <w:r>
        <w:rPr>
          <w:rFonts w:ascii="宋体" w:hAnsi="宋体" w:hint="eastAsia"/>
          <w:color w:val="000000"/>
          <w:sz w:val="24"/>
          <w:szCs w:val="24"/>
        </w:rPr>
        <w:t>HIL</w:t>
      </w:r>
      <w:r>
        <w:rPr>
          <w:rFonts w:ascii="宋体" w:hAnsi="宋体" w:hint="eastAsia"/>
          <w:color w:val="000000"/>
          <w:sz w:val="24"/>
          <w:szCs w:val="24"/>
        </w:rPr>
        <w:t>机柜断电。</w:t>
      </w:r>
    </w:p>
    <w:p w14:paraId="2E1DCEA4" w14:textId="77777777" w:rsidR="00B872D7" w:rsidRDefault="00037826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0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施工要求：</w:t>
      </w:r>
    </w:p>
    <w:p w14:paraId="488D37BA" w14:textId="77777777" w:rsidR="00B872D7" w:rsidRDefault="00037826">
      <w:pPr>
        <w:autoSpaceDE w:val="0"/>
        <w:autoSpaceDN w:val="0"/>
        <w:adjustRightInd w:val="0"/>
        <w:spacing w:line="360" w:lineRule="auto"/>
        <w:rPr>
          <w:rFonts w:ascii="宋体" w:hAnsi="宋体" w:hint="eastAsia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项目施工过程中无安全事故。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项目施工过程中不得影响正常生产。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整个项目实施过程符合政府部门相关法律法规要求。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项目实施后能够实现项目目标并不得对周围其他设备设施造成影响。</w:t>
      </w:r>
    </w:p>
    <w:p w14:paraId="6C9FC5B7" w14:textId="77777777" w:rsidR="00B872D7" w:rsidRPr="00037826" w:rsidRDefault="00037826">
      <w:pPr>
        <w:pStyle w:val="20"/>
        <w:numPr>
          <w:ilvl w:val="0"/>
          <w:numId w:val="4"/>
        </w:numPr>
        <w:spacing w:before="0" w:after="0" w:line="360" w:lineRule="auto"/>
        <w:rPr>
          <w:rFonts w:ascii="宋体" w:eastAsia="宋体" w:hAnsi="宋体" w:hint="eastAsia"/>
          <w:color w:val="auto"/>
          <w:sz w:val="36"/>
          <w:szCs w:val="36"/>
        </w:rPr>
      </w:pPr>
      <w:bookmarkStart w:id="6" w:name="_Toc215143071"/>
      <w:r w:rsidRPr="00037826">
        <w:rPr>
          <w:rFonts w:ascii="宋体" w:eastAsia="宋体" w:hAnsi="宋体" w:hint="eastAsia"/>
          <w:color w:val="auto"/>
          <w:sz w:val="36"/>
          <w:szCs w:val="36"/>
        </w:rPr>
        <w:t>产品交期要求</w:t>
      </w:r>
      <w:bookmarkEnd w:id="6"/>
    </w:p>
    <w:p w14:paraId="50D48045" w14:textId="77777777" w:rsidR="00037826" w:rsidRDefault="0003782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/>
          <w:color w:val="000000"/>
          <w:sz w:val="24"/>
          <w:szCs w:val="24"/>
        </w:rPr>
      </w:pPr>
      <w:r w:rsidRPr="00037826">
        <w:rPr>
          <w:rFonts w:ascii="宋体" w:hAnsi="宋体" w:hint="eastAsia"/>
          <w:color w:val="000000"/>
          <w:sz w:val="24"/>
          <w:szCs w:val="24"/>
        </w:rPr>
        <w:t>★</w:t>
      </w:r>
      <w:r w:rsidRPr="00037826">
        <w:rPr>
          <w:rFonts w:ascii="宋体" w:hAnsi="宋体" w:hint="eastAsia"/>
          <w:color w:val="000000"/>
          <w:sz w:val="24"/>
          <w:szCs w:val="24"/>
        </w:rPr>
        <w:t>设备交期为</w:t>
      </w:r>
      <w:r>
        <w:rPr>
          <w:rFonts w:ascii="宋体" w:hAnsi="宋体" w:hint="eastAsia"/>
          <w:color w:val="000000"/>
          <w:sz w:val="24"/>
          <w:szCs w:val="24"/>
        </w:rPr>
        <w:t>合同签订后25日内</w:t>
      </w:r>
    </w:p>
    <w:p w14:paraId="4870F3F1" w14:textId="4CF2B146" w:rsidR="00B872D7" w:rsidRPr="00037826" w:rsidRDefault="00037826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宋体" w:hAnsi="宋体" w:hint="eastAsia"/>
          <w:color w:val="000000"/>
          <w:sz w:val="24"/>
          <w:szCs w:val="24"/>
        </w:rPr>
      </w:pPr>
      <w:r w:rsidRPr="00037826">
        <w:rPr>
          <w:rFonts w:ascii="宋体" w:hAnsi="宋体" w:hint="eastAsia"/>
          <w:color w:val="000000"/>
          <w:sz w:val="24"/>
          <w:szCs w:val="24"/>
        </w:rPr>
        <w:t>★</w:t>
      </w:r>
      <w:r w:rsidRPr="00037826">
        <w:rPr>
          <w:rFonts w:ascii="宋体" w:hAnsi="宋体" w:hint="eastAsia"/>
          <w:color w:val="000000"/>
          <w:sz w:val="24"/>
          <w:szCs w:val="24"/>
        </w:rPr>
        <w:t>供应商需列出详细的开发进度并与采购方确认。</w:t>
      </w:r>
    </w:p>
    <w:p w14:paraId="304B4522" w14:textId="77777777" w:rsidR="00B872D7" w:rsidRDefault="00B872D7">
      <w:pPr>
        <w:rPr>
          <w:highlight w:val="yellow"/>
        </w:rPr>
      </w:pPr>
    </w:p>
    <w:p w14:paraId="52A8085C" w14:textId="77777777" w:rsidR="00B872D7" w:rsidRDefault="00037826">
      <w:pPr>
        <w:pStyle w:val="20"/>
        <w:numPr>
          <w:ilvl w:val="0"/>
          <w:numId w:val="4"/>
        </w:numPr>
        <w:spacing w:before="0" w:after="0" w:line="360" w:lineRule="auto"/>
        <w:rPr>
          <w:rFonts w:ascii="宋体" w:eastAsia="宋体" w:hAnsi="宋体" w:hint="eastAsia"/>
          <w:color w:val="auto"/>
          <w:sz w:val="36"/>
          <w:szCs w:val="36"/>
        </w:rPr>
      </w:pPr>
      <w:bookmarkStart w:id="7" w:name="_Toc215143072"/>
      <w:r>
        <w:rPr>
          <w:rFonts w:ascii="宋体" w:eastAsia="宋体" w:hAnsi="宋体" w:hint="eastAsia"/>
          <w:color w:val="auto"/>
          <w:sz w:val="36"/>
          <w:szCs w:val="36"/>
        </w:rPr>
        <w:t>项目调试、培训、资料及服务要求</w:t>
      </w:r>
      <w:bookmarkEnd w:id="7"/>
    </w:p>
    <w:p w14:paraId="1355978D" w14:textId="77777777" w:rsidR="00B872D7" w:rsidRDefault="00037826">
      <w:pPr>
        <w:spacing w:line="360" w:lineRule="auto"/>
        <w:ind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HIL</w:t>
      </w:r>
      <w:r>
        <w:rPr>
          <w:rFonts w:ascii="宋体" w:hAnsi="宋体" w:hint="eastAsia"/>
          <w:sz w:val="24"/>
          <w:szCs w:val="24"/>
        </w:rPr>
        <w:t>供应商必须满足以下项目要求。</w:t>
      </w:r>
    </w:p>
    <w:p w14:paraId="55A3C5CD" w14:textId="77777777" w:rsidR="00B872D7" w:rsidRDefault="00037826">
      <w:pPr>
        <w:pStyle w:val="3"/>
        <w:numPr>
          <w:ilvl w:val="0"/>
          <w:numId w:val="7"/>
        </w:numPr>
        <w:spacing w:before="0" w:after="0" w:line="360" w:lineRule="auto"/>
        <w:rPr>
          <w:rFonts w:ascii="宋体" w:eastAsia="宋体" w:hAnsi="宋体" w:hint="eastAsia"/>
          <w:sz w:val="30"/>
          <w:szCs w:val="30"/>
        </w:rPr>
      </w:pPr>
      <w:bookmarkStart w:id="8" w:name="_Toc215143073"/>
      <w:r>
        <w:rPr>
          <w:rFonts w:ascii="宋体" w:eastAsia="宋体" w:hAnsi="宋体" w:hint="eastAsia"/>
          <w:sz w:val="30"/>
          <w:szCs w:val="30"/>
        </w:rPr>
        <w:t>闭环调试</w:t>
      </w:r>
      <w:bookmarkEnd w:id="8"/>
    </w:p>
    <w:p w14:paraId="06E8318D" w14:textId="77777777" w:rsidR="00B872D7" w:rsidRDefault="00037826">
      <w:pPr>
        <w:spacing w:line="360" w:lineRule="auto"/>
        <w:ind w:left="567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 w:hint="eastAsia"/>
          <w:color w:val="000000"/>
          <w:sz w:val="24"/>
          <w:szCs w:val="24"/>
          <w:lang w:bidi="ar"/>
        </w:rPr>
        <w:t>供应商</w:t>
      </w:r>
      <w:r>
        <w:rPr>
          <w:rFonts w:ascii="宋体" w:hAnsi="宋体"/>
          <w:color w:val="000000"/>
          <w:sz w:val="24"/>
          <w:szCs w:val="24"/>
          <w:lang w:bidi="ar"/>
        </w:rPr>
        <w:t>需帮助招标人需完成控制器的</w:t>
      </w:r>
      <w:r>
        <w:rPr>
          <w:rFonts w:ascii="宋体" w:hAnsi="宋体" w:hint="eastAsia"/>
          <w:color w:val="000000"/>
          <w:sz w:val="24"/>
          <w:szCs w:val="24"/>
          <w:lang w:bidi="ar"/>
        </w:rPr>
        <w:t>闭环</w:t>
      </w:r>
      <w:r>
        <w:rPr>
          <w:rFonts w:ascii="宋体" w:hAnsi="宋体"/>
          <w:color w:val="000000"/>
          <w:sz w:val="24"/>
          <w:szCs w:val="24"/>
          <w:lang w:bidi="ar"/>
        </w:rPr>
        <w:t>调试，具体工作内容包括但不限于：</w:t>
      </w:r>
    </w:p>
    <w:p w14:paraId="14C1AD2A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控制器与</w:t>
      </w:r>
      <w:r>
        <w:rPr>
          <w:rFonts w:ascii="宋体" w:hAnsi="宋体"/>
          <w:color w:val="000000"/>
          <w:sz w:val="24"/>
          <w:szCs w:val="24"/>
          <w:lang w:bidi="ar"/>
        </w:rPr>
        <w:t>HIL</w:t>
      </w:r>
      <w:r>
        <w:rPr>
          <w:rFonts w:ascii="宋体" w:hAnsi="宋体"/>
          <w:color w:val="000000"/>
          <w:sz w:val="24"/>
          <w:szCs w:val="24"/>
          <w:lang w:bidi="ar"/>
        </w:rPr>
        <w:t>系统的机柜连接线束制作</w:t>
      </w:r>
    </w:p>
    <w:p w14:paraId="651CEDE9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搭建</w:t>
      </w:r>
      <w:r>
        <w:rPr>
          <w:rFonts w:ascii="宋体" w:hAnsi="宋体"/>
          <w:color w:val="000000"/>
          <w:sz w:val="24"/>
          <w:szCs w:val="24"/>
          <w:lang w:bidi="ar"/>
        </w:rPr>
        <w:t>IO</w:t>
      </w:r>
      <w:r>
        <w:rPr>
          <w:rFonts w:ascii="宋体" w:hAnsi="宋体"/>
          <w:color w:val="000000"/>
          <w:sz w:val="24"/>
          <w:szCs w:val="24"/>
          <w:lang w:bidi="ar"/>
        </w:rPr>
        <w:t>激励模型，测试系统各功能正常</w:t>
      </w:r>
    </w:p>
    <w:p w14:paraId="21DFF2B1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完成控制器开环测试，并撰写开环测试报告。开环测试指控制器和</w:t>
      </w:r>
      <w:r>
        <w:rPr>
          <w:rFonts w:ascii="宋体" w:hAnsi="宋体"/>
          <w:color w:val="000000"/>
          <w:sz w:val="24"/>
          <w:szCs w:val="24"/>
          <w:lang w:bidi="ar"/>
        </w:rPr>
        <w:t>HIL</w:t>
      </w:r>
      <w:r>
        <w:rPr>
          <w:rFonts w:ascii="宋体" w:hAnsi="宋体"/>
          <w:color w:val="000000"/>
          <w:sz w:val="24"/>
          <w:szCs w:val="24"/>
          <w:lang w:bidi="ar"/>
        </w:rPr>
        <w:lastRenderedPageBreak/>
        <w:t>各</w:t>
      </w:r>
      <w:r>
        <w:rPr>
          <w:rFonts w:ascii="宋体" w:hAnsi="宋体"/>
          <w:color w:val="000000"/>
          <w:sz w:val="24"/>
          <w:szCs w:val="24"/>
          <w:lang w:bidi="ar"/>
        </w:rPr>
        <w:t>IO</w:t>
      </w:r>
      <w:r>
        <w:rPr>
          <w:rFonts w:ascii="宋体" w:hAnsi="宋体"/>
          <w:color w:val="000000"/>
          <w:sz w:val="24"/>
          <w:szCs w:val="24"/>
          <w:lang w:bidi="ar"/>
        </w:rPr>
        <w:t>通道信号值可正常解析</w:t>
      </w:r>
    </w:p>
    <w:p w14:paraId="276E2B1F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完成控制器的闭环测试，并撰写闭环测试报告。闭环测试指包含了被控对象模型和真实</w:t>
      </w:r>
      <w:r>
        <w:rPr>
          <w:rFonts w:ascii="宋体" w:hAnsi="宋体"/>
          <w:color w:val="000000"/>
          <w:sz w:val="24"/>
          <w:szCs w:val="24"/>
          <w:lang w:bidi="ar"/>
        </w:rPr>
        <w:t>ECU</w:t>
      </w:r>
      <w:r>
        <w:rPr>
          <w:rFonts w:ascii="宋体" w:hAnsi="宋体"/>
          <w:color w:val="000000"/>
          <w:sz w:val="24"/>
          <w:szCs w:val="24"/>
          <w:lang w:bidi="ar"/>
        </w:rPr>
        <w:t>的</w:t>
      </w:r>
      <w:r>
        <w:rPr>
          <w:rFonts w:ascii="宋体" w:hAnsi="宋体"/>
          <w:color w:val="000000"/>
          <w:sz w:val="24"/>
          <w:szCs w:val="24"/>
          <w:lang w:bidi="ar"/>
        </w:rPr>
        <w:t>HIL</w:t>
      </w:r>
      <w:r>
        <w:rPr>
          <w:rFonts w:ascii="宋体" w:hAnsi="宋体"/>
          <w:color w:val="000000"/>
          <w:sz w:val="24"/>
          <w:szCs w:val="24"/>
          <w:lang w:bidi="ar"/>
        </w:rPr>
        <w:t>测试</w:t>
      </w:r>
    </w:p>
    <w:p w14:paraId="48790E4A" w14:textId="77777777" w:rsidR="00B872D7" w:rsidRDefault="00037826">
      <w:pPr>
        <w:spacing w:line="360" w:lineRule="auto"/>
        <w:ind w:left="567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在闭环工作中，招标人将提供必要的工具，如控制器的接插件、</w:t>
      </w:r>
      <w:r>
        <w:rPr>
          <w:rFonts w:ascii="宋体" w:hAnsi="宋体"/>
          <w:color w:val="000000"/>
          <w:sz w:val="24"/>
          <w:szCs w:val="24"/>
          <w:lang w:bidi="ar"/>
        </w:rPr>
        <w:t>PIN</w:t>
      </w:r>
      <w:r>
        <w:rPr>
          <w:rFonts w:ascii="宋体" w:hAnsi="宋体"/>
          <w:color w:val="000000"/>
          <w:sz w:val="24"/>
          <w:szCs w:val="24"/>
          <w:lang w:bidi="ar"/>
        </w:rPr>
        <w:t>针，压线钳，以及调试过程中需用到的标定诊断工具。</w:t>
      </w:r>
      <w:r>
        <w:rPr>
          <w:rFonts w:ascii="宋体" w:hAnsi="宋体"/>
          <w:color w:val="000000"/>
          <w:sz w:val="24"/>
          <w:szCs w:val="24"/>
          <w:lang w:bidi="ar"/>
        </w:rPr>
        <w:t>DBC</w:t>
      </w:r>
      <w:r>
        <w:rPr>
          <w:rFonts w:ascii="宋体" w:hAnsi="宋体"/>
          <w:color w:val="000000"/>
          <w:sz w:val="24"/>
          <w:szCs w:val="24"/>
          <w:lang w:bidi="ar"/>
        </w:rPr>
        <w:t>文件等亦由招标人提供。</w:t>
      </w:r>
    </w:p>
    <w:p w14:paraId="67261867" w14:textId="77777777" w:rsidR="00B872D7" w:rsidRDefault="00037826">
      <w:pPr>
        <w:pStyle w:val="3"/>
        <w:numPr>
          <w:ilvl w:val="0"/>
          <w:numId w:val="7"/>
        </w:numPr>
        <w:spacing w:before="0" w:after="0" w:line="360" w:lineRule="auto"/>
        <w:rPr>
          <w:rFonts w:ascii="宋体" w:eastAsia="宋体" w:hAnsi="宋体" w:hint="eastAsia"/>
          <w:sz w:val="30"/>
          <w:szCs w:val="30"/>
        </w:rPr>
      </w:pPr>
      <w:bookmarkStart w:id="9" w:name="_Toc215143074"/>
      <w:r>
        <w:rPr>
          <w:rFonts w:ascii="宋体" w:eastAsia="宋体" w:hAnsi="宋体"/>
          <w:sz w:val="30"/>
          <w:szCs w:val="30"/>
        </w:rPr>
        <w:t>技术培训</w:t>
      </w:r>
      <w:bookmarkEnd w:id="9"/>
    </w:p>
    <w:p w14:paraId="3B831A5C" w14:textId="77777777" w:rsidR="00B872D7" w:rsidRDefault="00037826">
      <w:pPr>
        <w:spacing w:line="360" w:lineRule="auto"/>
        <w:ind w:left="567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 w:hint="eastAsia"/>
          <w:color w:val="000000"/>
          <w:sz w:val="24"/>
          <w:szCs w:val="24"/>
          <w:lang w:bidi="ar"/>
        </w:rPr>
        <w:t>HIL</w:t>
      </w:r>
      <w:r>
        <w:rPr>
          <w:rFonts w:ascii="宋体" w:hAnsi="宋体" w:hint="eastAsia"/>
          <w:color w:val="000000"/>
          <w:sz w:val="24"/>
          <w:szCs w:val="24"/>
          <w:lang w:bidi="ar"/>
        </w:rPr>
        <w:t>供应商须提供完整的技术培训，以保障金龙工程师可以独立使用，线下培训时间不少于</w:t>
      </w:r>
      <w:r>
        <w:rPr>
          <w:rFonts w:ascii="宋体" w:hAnsi="宋体" w:hint="eastAsia"/>
          <w:color w:val="000000"/>
          <w:sz w:val="24"/>
          <w:szCs w:val="24"/>
          <w:lang w:bidi="ar"/>
        </w:rPr>
        <w:t>5</w:t>
      </w:r>
      <w:r>
        <w:rPr>
          <w:rFonts w:ascii="宋体" w:hAnsi="宋体" w:hint="eastAsia"/>
          <w:color w:val="000000"/>
          <w:sz w:val="24"/>
          <w:szCs w:val="24"/>
          <w:lang w:bidi="ar"/>
        </w:rPr>
        <w:t>天。</w:t>
      </w:r>
    </w:p>
    <w:p w14:paraId="2F970753" w14:textId="77777777" w:rsidR="00B872D7" w:rsidRDefault="00037826">
      <w:pPr>
        <w:pStyle w:val="3"/>
        <w:numPr>
          <w:ilvl w:val="0"/>
          <w:numId w:val="7"/>
        </w:numPr>
        <w:spacing w:before="0" w:after="0" w:line="360" w:lineRule="auto"/>
        <w:rPr>
          <w:rFonts w:ascii="宋体" w:eastAsia="宋体" w:hAnsi="宋体" w:hint="eastAsia"/>
          <w:sz w:val="30"/>
          <w:szCs w:val="30"/>
        </w:rPr>
      </w:pPr>
      <w:bookmarkStart w:id="10" w:name="_Toc215143075"/>
      <w:r>
        <w:rPr>
          <w:rFonts w:ascii="宋体" w:eastAsia="宋体" w:hAnsi="宋体"/>
          <w:sz w:val="30"/>
          <w:szCs w:val="30"/>
        </w:rPr>
        <w:t>资料的提供</w:t>
      </w:r>
      <w:bookmarkEnd w:id="10"/>
    </w:p>
    <w:p w14:paraId="5000D511" w14:textId="77777777" w:rsidR="00B872D7" w:rsidRDefault="00037826">
      <w:pPr>
        <w:spacing w:line="360" w:lineRule="auto"/>
        <w:ind w:left="567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 w:hint="eastAsia"/>
          <w:color w:val="000000"/>
          <w:sz w:val="24"/>
          <w:szCs w:val="24"/>
          <w:lang w:bidi="ar"/>
        </w:rPr>
        <w:t>HIL</w:t>
      </w:r>
      <w:r>
        <w:rPr>
          <w:rFonts w:ascii="宋体" w:hAnsi="宋体" w:hint="eastAsia"/>
          <w:color w:val="000000"/>
          <w:sz w:val="24"/>
          <w:szCs w:val="24"/>
          <w:lang w:bidi="ar"/>
        </w:rPr>
        <w:t>供应商</w:t>
      </w:r>
      <w:r>
        <w:rPr>
          <w:rFonts w:ascii="宋体" w:hAnsi="宋体"/>
          <w:color w:val="000000"/>
          <w:sz w:val="24"/>
          <w:szCs w:val="24"/>
          <w:lang w:bidi="ar"/>
        </w:rPr>
        <w:t>应提供以下文件资料，其费用应包括在技术服务价格之内。技术文件应完整、清楚、足够保证现场安装、试运转以及正常安全运行和维修。需提供的资料和文档包含以下内容：</w:t>
      </w:r>
    </w:p>
    <w:p w14:paraId="4AFAC5D1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系统使用说明书；</w:t>
      </w:r>
    </w:p>
    <w:p w14:paraId="1183B833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硬件板卡说明文档；</w:t>
      </w:r>
    </w:p>
    <w:p w14:paraId="053E24C5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激励测试报告；</w:t>
      </w:r>
    </w:p>
    <w:p w14:paraId="3C153B6F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闭环测试报告；</w:t>
      </w:r>
    </w:p>
    <w:p w14:paraId="1595EF10" w14:textId="77777777" w:rsidR="00B872D7" w:rsidRDefault="00037826">
      <w:pPr>
        <w:pStyle w:val="aff6"/>
        <w:numPr>
          <w:ilvl w:val="0"/>
          <w:numId w:val="8"/>
        </w:numPr>
        <w:spacing w:line="360" w:lineRule="auto"/>
        <w:ind w:left="567" w:firstLine="0"/>
        <w:contextualSpacing w:val="0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color w:val="000000"/>
          <w:sz w:val="24"/>
          <w:szCs w:val="24"/>
          <w:lang w:bidi="ar"/>
        </w:rPr>
        <w:t>相关培训教材；</w:t>
      </w:r>
    </w:p>
    <w:p w14:paraId="3400F535" w14:textId="77777777" w:rsidR="00B872D7" w:rsidRDefault="00037826">
      <w:pPr>
        <w:spacing w:line="360" w:lineRule="auto"/>
        <w:ind w:left="567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  <w:lang w:bidi="ar"/>
        </w:rPr>
        <w:t>交付形式：</w:t>
      </w:r>
      <w:r>
        <w:rPr>
          <w:rFonts w:ascii="宋体" w:hAnsi="宋体"/>
          <w:sz w:val="24"/>
          <w:szCs w:val="24"/>
        </w:rPr>
        <w:t>纸质文档或电子文档</w:t>
      </w:r>
    </w:p>
    <w:p w14:paraId="23CBB52B" w14:textId="77777777" w:rsidR="00B872D7" w:rsidRDefault="00037826">
      <w:pPr>
        <w:spacing w:line="360" w:lineRule="auto"/>
        <w:ind w:left="567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数量：</w:t>
      </w:r>
      <w:r>
        <w:rPr>
          <w:rFonts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套</w:t>
      </w:r>
    </w:p>
    <w:p w14:paraId="58F1EDF7" w14:textId="77777777" w:rsidR="00B872D7" w:rsidRDefault="00037826">
      <w:pPr>
        <w:spacing w:line="360" w:lineRule="auto"/>
        <w:ind w:left="567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/>
          <w:sz w:val="24"/>
          <w:szCs w:val="24"/>
        </w:rPr>
        <w:t>语言：中文</w:t>
      </w:r>
    </w:p>
    <w:p w14:paraId="5442F12C" w14:textId="77777777" w:rsidR="00B872D7" w:rsidRDefault="00037826">
      <w:pPr>
        <w:pStyle w:val="3"/>
        <w:numPr>
          <w:ilvl w:val="0"/>
          <w:numId w:val="7"/>
        </w:numPr>
        <w:spacing w:before="0" w:after="0" w:line="360" w:lineRule="auto"/>
        <w:rPr>
          <w:rFonts w:ascii="宋体" w:eastAsia="宋体" w:hAnsi="宋体" w:hint="eastAsia"/>
          <w:sz w:val="30"/>
          <w:szCs w:val="30"/>
        </w:rPr>
      </w:pPr>
      <w:bookmarkStart w:id="11" w:name="_Toc215143076"/>
      <w:r>
        <w:rPr>
          <w:rFonts w:ascii="宋体" w:eastAsia="宋体" w:hAnsi="宋体"/>
          <w:sz w:val="30"/>
          <w:szCs w:val="30"/>
        </w:rPr>
        <w:t>售后服务和质量保证</w:t>
      </w:r>
      <w:bookmarkEnd w:id="11"/>
    </w:p>
    <w:p w14:paraId="272B1A06" w14:textId="77777777" w:rsidR="00B872D7" w:rsidRDefault="00037826">
      <w:pPr>
        <w:pStyle w:val="aff6"/>
        <w:spacing w:line="360" w:lineRule="auto"/>
        <w:ind w:left="567"/>
        <w:rPr>
          <w:rFonts w:ascii="宋体" w:hAnsi="宋体" w:hint="eastAsia"/>
          <w:color w:val="000000"/>
          <w:sz w:val="24"/>
          <w:szCs w:val="24"/>
          <w:lang w:bidi="ar"/>
        </w:rPr>
      </w:pPr>
      <w:r>
        <w:rPr>
          <w:rFonts w:ascii="宋体" w:hAnsi="宋体" w:hint="eastAsia"/>
          <w:color w:val="000000"/>
          <w:sz w:val="24"/>
          <w:szCs w:val="24"/>
          <w:lang w:bidi="ar"/>
        </w:rPr>
        <w:t>供应商在方案中需描述清楚其提供的售后服务响应时间，质保周期和售后服务收费标准。</w:t>
      </w:r>
    </w:p>
    <w:p w14:paraId="3B922761" w14:textId="77777777" w:rsidR="00B872D7" w:rsidRDefault="00037826">
      <w:pPr>
        <w:pStyle w:val="3"/>
        <w:numPr>
          <w:ilvl w:val="0"/>
          <w:numId w:val="7"/>
        </w:numPr>
        <w:spacing w:before="0" w:after="0" w:line="360" w:lineRule="auto"/>
        <w:rPr>
          <w:rFonts w:ascii="宋体" w:eastAsia="宋体" w:hAnsi="宋体" w:hint="eastAsia"/>
          <w:sz w:val="30"/>
          <w:szCs w:val="30"/>
        </w:rPr>
      </w:pPr>
      <w:bookmarkStart w:id="12" w:name="_Toc215143077"/>
      <w:r>
        <w:rPr>
          <w:rFonts w:ascii="宋体" w:eastAsia="宋体" w:hAnsi="宋体" w:hint="eastAsia"/>
          <w:sz w:val="30"/>
          <w:szCs w:val="30"/>
        </w:rPr>
        <w:t>配套设备清单</w:t>
      </w:r>
      <w:bookmarkStart w:id="13" w:name="_Toc179467024"/>
      <w:bookmarkEnd w:id="12"/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2465"/>
        <w:gridCol w:w="1594"/>
        <w:gridCol w:w="3444"/>
      </w:tblGrid>
      <w:tr w:rsidR="00B872D7" w14:paraId="6A633CCF" w14:textId="77777777">
        <w:trPr>
          <w:trHeight w:val="321"/>
          <w:jc w:val="center"/>
        </w:trPr>
        <w:tc>
          <w:tcPr>
            <w:tcW w:w="915" w:type="dxa"/>
            <w:shd w:val="clear" w:color="auto" w:fill="D7D7D7"/>
            <w:vAlign w:val="center"/>
          </w:tcPr>
          <w:p w14:paraId="70FD8DDA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序号</w:t>
            </w:r>
          </w:p>
        </w:tc>
        <w:tc>
          <w:tcPr>
            <w:tcW w:w="2465" w:type="dxa"/>
            <w:shd w:val="clear" w:color="auto" w:fill="D7D7D7"/>
            <w:vAlign w:val="center"/>
          </w:tcPr>
          <w:p w14:paraId="4A37C753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物品名称</w:t>
            </w:r>
          </w:p>
        </w:tc>
        <w:tc>
          <w:tcPr>
            <w:tcW w:w="1594" w:type="dxa"/>
            <w:shd w:val="clear" w:color="auto" w:fill="D7D7D7"/>
            <w:vAlign w:val="center"/>
          </w:tcPr>
          <w:p w14:paraId="58E6A0FB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数量</w:t>
            </w:r>
          </w:p>
        </w:tc>
        <w:tc>
          <w:tcPr>
            <w:tcW w:w="3444" w:type="dxa"/>
            <w:shd w:val="clear" w:color="auto" w:fill="D7D7D7"/>
            <w:vAlign w:val="center"/>
          </w:tcPr>
          <w:p w14:paraId="22BA9141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备注</w:t>
            </w:r>
          </w:p>
        </w:tc>
      </w:tr>
      <w:tr w:rsidR="00B872D7" w14:paraId="51E745D5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7C20B500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2465" w:type="dxa"/>
            <w:vAlign w:val="center"/>
          </w:tcPr>
          <w:p w14:paraId="0DCCBF1C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调试笔记本电脑</w:t>
            </w:r>
          </w:p>
        </w:tc>
        <w:tc>
          <w:tcPr>
            <w:tcW w:w="1594" w:type="dxa"/>
            <w:vAlign w:val="center"/>
          </w:tcPr>
          <w:p w14:paraId="02CC3D43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台</w:t>
            </w:r>
          </w:p>
        </w:tc>
        <w:tc>
          <w:tcPr>
            <w:tcW w:w="3444" w:type="dxa"/>
            <w:vAlign w:val="center"/>
          </w:tcPr>
          <w:p w14:paraId="7056EDA2" w14:textId="77777777" w:rsidR="00B872D7" w:rsidRDefault="00037826">
            <w:pPr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CPU:i7-14700 </w:t>
            </w:r>
            <w:r>
              <w:rPr>
                <w:rFonts w:ascii="宋体" w:hAnsi="宋体" w:hint="eastAsia"/>
                <w:szCs w:val="21"/>
              </w:rPr>
              <w:t>显卡：</w:t>
            </w:r>
            <w:r>
              <w:rPr>
                <w:rFonts w:ascii="宋体" w:hAnsi="宋体" w:hint="eastAsia"/>
                <w:szCs w:val="21"/>
              </w:rPr>
              <w:t>RTX4060(8G)</w:t>
            </w:r>
            <w:r>
              <w:rPr>
                <w:rFonts w:ascii="宋体" w:hAnsi="宋体" w:hint="eastAsia"/>
                <w:szCs w:val="21"/>
              </w:rPr>
              <w:t>及以上，存储：</w:t>
            </w:r>
            <w:r>
              <w:rPr>
                <w:rFonts w:ascii="宋体" w:hAnsi="宋体" w:hint="eastAsia"/>
                <w:szCs w:val="21"/>
              </w:rPr>
              <w:t>32G+1T</w:t>
            </w:r>
          </w:p>
        </w:tc>
      </w:tr>
      <w:tr w:rsidR="00B872D7" w14:paraId="69B0F6FE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306ECF07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2465" w:type="dxa"/>
            <w:vAlign w:val="center"/>
          </w:tcPr>
          <w:p w14:paraId="2609006F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高压隔离探头</w:t>
            </w:r>
          </w:p>
        </w:tc>
        <w:tc>
          <w:tcPr>
            <w:tcW w:w="1594" w:type="dxa"/>
            <w:vAlign w:val="center"/>
          </w:tcPr>
          <w:p w14:paraId="42626157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  <w:r>
              <w:rPr>
                <w:rFonts w:ascii="宋体" w:hAnsi="宋体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533D173A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匹配</w:t>
            </w:r>
            <w:r>
              <w:rPr>
                <w:rFonts w:ascii="宋体" w:hAnsi="宋体"/>
                <w:szCs w:val="21"/>
              </w:rPr>
              <w:t>示波器</w:t>
            </w:r>
            <w:r>
              <w:rPr>
                <w:rFonts w:ascii="宋体" w:hAnsi="宋体"/>
                <w:szCs w:val="21"/>
              </w:rPr>
              <w:t>TBS2000B</w:t>
            </w:r>
          </w:p>
        </w:tc>
      </w:tr>
      <w:tr w:rsidR="00B872D7" w14:paraId="07698075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45004FD5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2465" w:type="dxa"/>
            <w:vAlign w:val="center"/>
          </w:tcPr>
          <w:p w14:paraId="380364E3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罗氏线圈</w:t>
            </w:r>
          </w:p>
        </w:tc>
        <w:tc>
          <w:tcPr>
            <w:tcW w:w="1594" w:type="dxa"/>
            <w:vAlign w:val="center"/>
          </w:tcPr>
          <w:p w14:paraId="75422F61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0720910E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匹配</w:t>
            </w:r>
            <w:r>
              <w:rPr>
                <w:rFonts w:ascii="宋体" w:hAnsi="宋体"/>
                <w:szCs w:val="21"/>
              </w:rPr>
              <w:t>示波器</w:t>
            </w:r>
            <w:r>
              <w:rPr>
                <w:rFonts w:ascii="宋体" w:hAnsi="宋体"/>
                <w:szCs w:val="21"/>
              </w:rPr>
              <w:t>TBS2000B</w:t>
            </w:r>
            <w:r>
              <w:rPr>
                <w:rFonts w:ascii="宋体" w:hAnsi="宋体" w:hint="eastAsia"/>
                <w:szCs w:val="21"/>
              </w:rPr>
              <w:t>,</w:t>
            </w:r>
            <w:r>
              <w:rPr>
                <w:rFonts w:ascii="宋体" w:hAnsi="宋体" w:hint="eastAsia"/>
                <w:szCs w:val="21"/>
              </w:rPr>
              <w:t>量程</w:t>
            </w:r>
            <w:r>
              <w:rPr>
                <w:rFonts w:ascii="宋体" w:hAnsi="宋体" w:hint="eastAsia"/>
                <w:szCs w:val="21"/>
              </w:rPr>
              <w:t>0~1000A</w:t>
            </w:r>
          </w:p>
        </w:tc>
      </w:tr>
      <w:tr w:rsidR="00B872D7" w14:paraId="522DB49A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7571CF15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lastRenderedPageBreak/>
              <w:t>4</w:t>
            </w:r>
          </w:p>
        </w:tc>
        <w:tc>
          <w:tcPr>
            <w:tcW w:w="2465" w:type="dxa"/>
            <w:vAlign w:val="center"/>
          </w:tcPr>
          <w:p w14:paraId="2A225CE1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USBCANFD 200U</w:t>
            </w:r>
          </w:p>
        </w:tc>
        <w:tc>
          <w:tcPr>
            <w:tcW w:w="1594" w:type="dxa"/>
            <w:vAlign w:val="center"/>
          </w:tcPr>
          <w:p w14:paraId="0351EE25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7929C313" w14:textId="77777777" w:rsidR="00B872D7" w:rsidRDefault="00B872D7">
            <w:pPr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B872D7" w14:paraId="772FC6AA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3E765CB9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2465" w:type="dxa"/>
            <w:vAlign w:val="center"/>
          </w:tcPr>
          <w:p w14:paraId="5DD00ACF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钳形电流表</w:t>
            </w:r>
          </w:p>
        </w:tc>
        <w:tc>
          <w:tcPr>
            <w:tcW w:w="1594" w:type="dxa"/>
            <w:vAlign w:val="center"/>
          </w:tcPr>
          <w:p w14:paraId="113B8CBB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34929A21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量程</w:t>
            </w:r>
            <w:r>
              <w:rPr>
                <w:rFonts w:ascii="宋体" w:hAnsi="宋体" w:hint="eastAsia"/>
                <w:szCs w:val="21"/>
              </w:rPr>
              <w:t>0~1000A</w:t>
            </w:r>
          </w:p>
        </w:tc>
      </w:tr>
      <w:tr w:rsidR="00B872D7" w14:paraId="6B77A31E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7EE5706C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2465" w:type="dxa"/>
            <w:vAlign w:val="center"/>
          </w:tcPr>
          <w:p w14:paraId="4316EB6D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低压直流电源</w:t>
            </w:r>
          </w:p>
        </w:tc>
        <w:tc>
          <w:tcPr>
            <w:tcW w:w="1594" w:type="dxa"/>
            <w:vAlign w:val="center"/>
          </w:tcPr>
          <w:p w14:paraId="615288BE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3654BA30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输出电压≥</w:t>
            </w:r>
            <w:r>
              <w:rPr>
                <w:rFonts w:ascii="宋体" w:hAnsi="宋体" w:hint="eastAsia"/>
                <w:szCs w:val="21"/>
              </w:rPr>
              <w:t>60V</w:t>
            </w:r>
            <w:r>
              <w:rPr>
                <w:rFonts w:ascii="宋体" w:hAnsi="宋体" w:hint="eastAsia"/>
                <w:szCs w:val="21"/>
              </w:rPr>
              <w:t>，输出电流≥</w:t>
            </w:r>
            <w:r>
              <w:rPr>
                <w:rFonts w:ascii="宋体" w:hAnsi="宋体" w:hint="eastAsia"/>
                <w:szCs w:val="21"/>
              </w:rPr>
              <w:t>5A</w:t>
            </w:r>
            <w:r>
              <w:rPr>
                <w:rFonts w:ascii="宋体" w:hAnsi="宋体" w:hint="eastAsia"/>
                <w:szCs w:val="21"/>
              </w:rPr>
              <w:t>，</w:t>
            </w:r>
          </w:p>
        </w:tc>
      </w:tr>
      <w:tr w:rsidR="00B872D7" w14:paraId="2F031670" w14:textId="77777777">
        <w:trPr>
          <w:trHeight w:val="632"/>
          <w:jc w:val="center"/>
        </w:trPr>
        <w:tc>
          <w:tcPr>
            <w:tcW w:w="915" w:type="dxa"/>
            <w:vAlign w:val="center"/>
          </w:tcPr>
          <w:p w14:paraId="67B9B460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2465" w:type="dxa"/>
            <w:vAlign w:val="center"/>
          </w:tcPr>
          <w:p w14:paraId="5A49B817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高压直流电源</w:t>
            </w:r>
          </w:p>
        </w:tc>
        <w:tc>
          <w:tcPr>
            <w:tcW w:w="1594" w:type="dxa"/>
            <w:vAlign w:val="center"/>
          </w:tcPr>
          <w:p w14:paraId="592835CD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76A4E571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大功率可调高压直流开关电源最高电压</w:t>
            </w:r>
            <w:r>
              <w:rPr>
                <w:rFonts w:ascii="宋体" w:hAnsi="宋体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00V</w:t>
            </w:r>
            <w:r>
              <w:rPr>
                <w:rFonts w:ascii="宋体" w:hAnsi="宋体"/>
                <w:szCs w:val="21"/>
              </w:rPr>
              <w:t>，功率大于等于</w:t>
            </w:r>
            <w:r>
              <w:rPr>
                <w:rFonts w:ascii="宋体" w:hAnsi="宋体"/>
                <w:szCs w:val="21"/>
              </w:rPr>
              <w:t>5kw</w:t>
            </w:r>
            <w:r>
              <w:rPr>
                <w:rFonts w:ascii="宋体" w:hAnsi="宋体" w:hint="eastAsia"/>
                <w:szCs w:val="21"/>
              </w:rPr>
              <w:t>或电流≥</w:t>
            </w:r>
            <w:r>
              <w:rPr>
                <w:rFonts w:ascii="宋体" w:hAnsi="宋体" w:hint="eastAsia"/>
                <w:szCs w:val="21"/>
              </w:rPr>
              <w:t>5A</w:t>
            </w:r>
            <w:r>
              <w:rPr>
                <w:rFonts w:ascii="宋体" w:hAnsi="宋体" w:hint="eastAsia"/>
                <w:szCs w:val="21"/>
              </w:rPr>
              <w:t>，</w:t>
            </w:r>
          </w:p>
        </w:tc>
      </w:tr>
      <w:tr w:rsidR="00B872D7" w14:paraId="0FCD3050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2480A03B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2465" w:type="dxa"/>
            <w:vAlign w:val="center"/>
          </w:tcPr>
          <w:p w14:paraId="758FAD3B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UDE</w:t>
            </w:r>
          </w:p>
        </w:tc>
        <w:tc>
          <w:tcPr>
            <w:tcW w:w="1594" w:type="dxa"/>
            <w:vAlign w:val="center"/>
          </w:tcPr>
          <w:p w14:paraId="23F59A4F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202D9581" w14:textId="77777777" w:rsidR="00B872D7" w:rsidRDefault="00B872D7">
            <w:pPr>
              <w:jc w:val="center"/>
              <w:rPr>
                <w:rFonts w:ascii="宋体" w:hAnsi="宋体" w:hint="eastAsia"/>
                <w:szCs w:val="21"/>
              </w:rPr>
            </w:pPr>
          </w:p>
        </w:tc>
      </w:tr>
      <w:tr w:rsidR="00B872D7" w14:paraId="25EF6CD9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4DC31440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</w:p>
        </w:tc>
        <w:tc>
          <w:tcPr>
            <w:tcW w:w="2465" w:type="dxa"/>
            <w:vAlign w:val="center"/>
          </w:tcPr>
          <w:p w14:paraId="4FECB503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LCR meter</w:t>
            </w:r>
          </w:p>
        </w:tc>
        <w:tc>
          <w:tcPr>
            <w:tcW w:w="1594" w:type="dxa"/>
            <w:vAlign w:val="center"/>
          </w:tcPr>
          <w:p w14:paraId="46E92528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个</w:t>
            </w:r>
          </w:p>
        </w:tc>
        <w:tc>
          <w:tcPr>
            <w:tcW w:w="3444" w:type="dxa"/>
            <w:vAlign w:val="center"/>
          </w:tcPr>
          <w:p w14:paraId="79434D0A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精度≥</w:t>
            </w:r>
            <w:r>
              <w:rPr>
                <w:rFonts w:ascii="宋体" w:hAnsi="宋体" w:hint="eastAsia"/>
                <w:szCs w:val="21"/>
              </w:rPr>
              <w:t xml:space="preserve">0.1% </w:t>
            </w:r>
            <w:r>
              <w:rPr>
                <w:rFonts w:ascii="宋体" w:hAnsi="宋体" w:hint="eastAsia"/>
                <w:szCs w:val="21"/>
              </w:rPr>
              <w:t>测试频率</w:t>
            </w:r>
            <w:r>
              <w:rPr>
                <w:rFonts w:ascii="宋体" w:hAnsi="宋体" w:hint="eastAsia"/>
                <w:szCs w:val="21"/>
              </w:rPr>
              <w:t xml:space="preserve">50~100KHz </w:t>
            </w:r>
          </w:p>
        </w:tc>
      </w:tr>
      <w:tr w:rsidR="00B872D7" w14:paraId="23987FBF" w14:textId="77777777">
        <w:trPr>
          <w:trHeight w:val="321"/>
          <w:jc w:val="center"/>
        </w:trPr>
        <w:tc>
          <w:tcPr>
            <w:tcW w:w="915" w:type="dxa"/>
            <w:vAlign w:val="center"/>
          </w:tcPr>
          <w:p w14:paraId="6D2F902E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</w:p>
        </w:tc>
        <w:tc>
          <w:tcPr>
            <w:tcW w:w="2465" w:type="dxa"/>
            <w:vAlign w:val="center"/>
          </w:tcPr>
          <w:p w14:paraId="54BB1C43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高压直流电源</w:t>
            </w:r>
          </w:p>
        </w:tc>
        <w:tc>
          <w:tcPr>
            <w:tcW w:w="1594" w:type="dxa"/>
            <w:vAlign w:val="center"/>
          </w:tcPr>
          <w:p w14:paraId="29381161" w14:textId="77777777" w:rsidR="00B872D7" w:rsidRDefault="00B872D7">
            <w:pPr>
              <w:jc w:val="center"/>
              <w:rPr>
                <w:rFonts w:ascii="宋体" w:hAnsi="宋体" w:hint="eastAsia"/>
                <w:szCs w:val="21"/>
              </w:rPr>
            </w:pPr>
          </w:p>
        </w:tc>
        <w:tc>
          <w:tcPr>
            <w:tcW w:w="3444" w:type="dxa"/>
            <w:vAlign w:val="center"/>
          </w:tcPr>
          <w:p w14:paraId="66FF8450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功率≥</w:t>
            </w:r>
            <w:r>
              <w:rPr>
                <w:rFonts w:ascii="宋体" w:hAnsi="宋体" w:hint="eastAsia"/>
                <w:szCs w:val="21"/>
              </w:rPr>
              <w:t>200KW</w:t>
            </w:r>
            <w:r>
              <w:rPr>
                <w:rFonts w:ascii="宋体" w:hAnsi="宋体" w:hint="eastAsia"/>
                <w:szCs w:val="21"/>
              </w:rPr>
              <w:br/>
            </w:r>
            <w:r>
              <w:rPr>
                <w:rFonts w:ascii="宋体" w:hAnsi="宋体" w:hint="eastAsia"/>
                <w:szCs w:val="21"/>
              </w:rPr>
              <w:t>电压范围</w:t>
            </w:r>
            <w:r>
              <w:rPr>
                <w:rFonts w:ascii="宋体" w:hAnsi="宋体" w:hint="eastAsia"/>
                <w:szCs w:val="21"/>
              </w:rPr>
              <w:t>100~1000V</w:t>
            </w:r>
            <w:r>
              <w:rPr>
                <w:rFonts w:ascii="宋体" w:hAnsi="宋体" w:hint="eastAsia"/>
                <w:szCs w:val="21"/>
              </w:rPr>
              <w:t>，</w:t>
            </w:r>
          </w:p>
          <w:p w14:paraId="7383D53D" w14:textId="77777777" w:rsidR="00B872D7" w:rsidRDefault="00037826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最高电压不低于</w:t>
            </w:r>
            <w:r>
              <w:rPr>
                <w:rFonts w:ascii="宋体" w:hAnsi="宋体" w:hint="eastAsia"/>
                <w:szCs w:val="21"/>
              </w:rPr>
              <w:t>800V</w:t>
            </w:r>
            <w:r>
              <w:rPr>
                <w:rFonts w:ascii="宋体" w:hAnsi="宋体" w:hint="eastAsia"/>
                <w:szCs w:val="21"/>
              </w:rPr>
              <w:br/>
            </w:r>
            <w:r>
              <w:rPr>
                <w:rFonts w:ascii="宋体" w:hAnsi="宋体" w:hint="eastAsia"/>
                <w:szCs w:val="21"/>
              </w:rPr>
              <w:t>需要匹配测试</w:t>
            </w:r>
            <w:proofErr w:type="gramStart"/>
            <w:r>
              <w:rPr>
                <w:rFonts w:ascii="宋体" w:hAnsi="宋体" w:hint="eastAsia"/>
                <w:szCs w:val="21"/>
              </w:rPr>
              <w:t>的六相电抗器</w:t>
            </w:r>
            <w:proofErr w:type="gramEnd"/>
          </w:p>
        </w:tc>
      </w:tr>
    </w:tbl>
    <w:p w14:paraId="2C697C28" w14:textId="77777777" w:rsidR="00B872D7" w:rsidRDefault="00037826">
      <w:pPr>
        <w:pStyle w:val="aff6"/>
        <w:spacing w:line="360" w:lineRule="auto"/>
        <w:ind w:left="0"/>
      </w:pPr>
      <w:r>
        <w:rPr>
          <w:rFonts w:ascii="宋体" w:hAnsi="宋体" w:hint="eastAsia"/>
          <w:color w:val="000000"/>
          <w:kern w:val="0"/>
          <w:sz w:val="24"/>
          <w:szCs w:val="24"/>
          <w:lang w:bidi="ar"/>
        </w:rPr>
        <w:t>注：配套设备品牌为应为一线，质保应在</w:t>
      </w:r>
      <w:r>
        <w:rPr>
          <w:rFonts w:ascii="宋体" w:hAnsi="宋体" w:hint="eastAsia"/>
          <w:color w:val="000000"/>
          <w:kern w:val="0"/>
          <w:sz w:val="24"/>
          <w:szCs w:val="24"/>
          <w:lang w:bidi="ar"/>
        </w:rPr>
        <w:t>3</w:t>
      </w:r>
      <w:r>
        <w:rPr>
          <w:rFonts w:ascii="宋体" w:hAnsi="宋体" w:hint="eastAsia"/>
          <w:color w:val="000000"/>
          <w:kern w:val="0"/>
          <w:sz w:val="24"/>
          <w:szCs w:val="24"/>
          <w:lang w:bidi="ar"/>
        </w:rPr>
        <w:t>年及以上。</w:t>
      </w:r>
    </w:p>
    <w:p w14:paraId="65CCE617" w14:textId="77777777" w:rsidR="00B872D7" w:rsidRDefault="00B872D7">
      <w:pPr>
        <w:spacing w:line="360" w:lineRule="auto"/>
      </w:pPr>
    </w:p>
    <w:p w14:paraId="00A3FF37" w14:textId="77777777" w:rsidR="00B872D7" w:rsidRPr="00037826" w:rsidRDefault="00037826">
      <w:pPr>
        <w:pStyle w:val="aff6"/>
        <w:numPr>
          <w:ilvl w:val="0"/>
          <w:numId w:val="4"/>
        </w:numPr>
        <w:spacing w:line="360" w:lineRule="auto"/>
        <w:rPr>
          <w:rFonts w:ascii="宋体" w:hAnsi="宋体" w:cstheme="majorBidi" w:hint="eastAsia"/>
          <w:sz w:val="36"/>
          <w:szCs w:val="36"/>
        </w:rPr>
      </w:pPr>
      <w:r w:rsidRPr="00037826">
        <w:rPr>
          <w:rFonts w:ascii="宋体" w:hAnsi="宋体" w:hint="eastAsia"/>
          <w:sz w:val="36"/>
          <w:szCs w:val="36"/>
        </w:rPr>
        <w:t>同类产品样式</w:t>
      </w:r>
    </w:p>
    <w:bookmarkEnd w:id="13"/>
    <w:p w14:paraId="2E8281F3" w14:textId="77777777" w:rsidR="00B872D7" w:rsidRDefault="00037826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  <w:noProof/>
        </w:rPr>
        <w:drawing>
          <wp:inline distT="0" distB="0" distL="114300" distR="114300" wp14:anchorId="5FC01E1E" wp14:editId="68505E3E">
            <wp:extent cx="2254250" cy="4911725"/>
            <wp:effectExtent l="0" t="0" r="12700" b="3175"/>
            <wp:docPr id="1" name="图片 1" descr="bec382c0369b5dbcf9b5f6d16469a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c382c0369b5dbcf9b5f6d16469a1f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  </w:t>
      </w:r>
      <w:r>
        <w:rPr>
          <w:rFonts w:ascii="宋体" w:hAnsi="宋体" w:hint="eastAsia"/>
          <w:noProof/>
        </w:rPr>
        <w:drawing>
          <wp:inline distT="0" distB="0" distL="114300" distR="114300" wp14:anchorId="6E3C63E9" wp14:editId="1DD1D75C">
            <wp:extent cx="2604770" cy="4902200"/>
            <wp:effectExtent l="0" t="0" r="5080" b="12700"/>
            <wp:docPr id="2" name="图片 2" descr="c09e53674868e3f90a36078a2d7d6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9e53674868e3f90a36078a2d7d64f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2D7">
      <w:pgSz w:w="11906" w:h="16838"/>
      <w:pgMar w:top="1440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C93B8" w14:textId="77777777" w:rsidR="00037826" w:rsidRDefault="00037826">
      <w:r>
        <w:separator/>
      </w:r>
    </w:p>
  </w:endnote>
  <w:endnote w:type="continuationSeparator" w:id="0">
    <w:p w14:paraId="094BE721" w14:textId="77777777" w:rsidR="00037826" w:rsidRDefault="00037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90775" w14:textId="77777777" w:rsidR="00B872D7" w:rsidRDefault="00037826">
    <w:pPr>
      <w:pStyle w:val="af2"/>
      <w:jc w:val="center"/>
    </w:pPr>
    <w:r>
      <w:fldChar w:fldCharType="begin"/>
    </w:r>
    <w:r>
      <w:instrText xml:space="preserve"> </w:instrText>
    </w:r>
    <w:r>
      <w:rPr>
        <w:rFonts w:hint="eastAsia"/>
      </w:rPr>
      <w:instrText>PAGE  \* Arabic  \* MERGEFORMAT</w:instrText>
    </w:r>
    <w:r>
      <w:instrText xml:space="preserve"> </w:instrText>
    </w:r>
    <w:r>
      <w:fldChar w:fldCharType="separate"/>
    </w:r>
    <w: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EBF8" w14:textId="77777777" w:rsidR="00B872D7" w:rsidRDefault="00037826">
    <w:pPr>
      <w:pStyle w:val="af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0993D8" wp14:editId="5279BB1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1905" b="8890"/>
              <wp:wrapNone/>
              <wp:docPr id="48299869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0BDB65" w14:textId="77777777" w:rsidR="00B872D7" w:rsidRDefault="00037826">
                          <w:pPr>
                            <w:pStyle w:val="aff4"/>
                            <w:rPr>
                              <w:color w:val="404040" w:themeColor="text1" w:themeTint="BF"/>
                            </w:rPr>
                          </w:pPr>
                          <w:r>
                            <w:rPr>
                              <w:color w:val="404040" w:themeColor="text1" w:themeTint="BF"/>
                            </w:rPr>
                            <w:fldChar w:fldCharType="begin"/>
                          </w:r>
                          <w:r>
                            <w:rPr>
                              <w:color w:val="404040" w:themeColor="text1" w:themeTint="B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404040" w:themeColor="text1" w:themeTint="BF"/>
                            </w:rPr>
                            <w:fldChar w:fldCharType="separate"/>
                          </w:r>
                          <w:r>
                            <w:rPr>
                              <w:color w:val="404040" w:themeColor="text1" w:themeTint="BF"/>
                            </w:rPr>
                            <w:t>66</w:t>
                          </w:r>
                          <w:r>
                            <w:rPr>
                              <w:color w:val="404040" w:themeColor="text1" w:themeTint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993D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9.15pt;height:11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" filled="f" stroked="f" strokeweight=".5pt">
              <v:textbox style="mso-fit-shape-to-text:t" inset="0,0,0,0">
                <w:txbxContent>
                  <w:p w14:paraId="230BDB65" w14:textId="77777777" w:rsidR="00B872D7" w:rsidRDefault="00037826">
                    <w:pPr>
                      <w:pStyle w:val="aff4"/>
                      <w:rPr>
                        <w:color w:val="404040" w:themeColor="text1" w:themeTint="BF"/>
                      </w:rPr>
                    </w:pPr>
                    <w:r>
                      <w:rPr>
                        <w:color w:val="404040" w:themeColor="text1" w:themeTint="BF"/>
                      </w:rPr>
                      <w:fldChar w:fldCharType="begin"/>
                    </w:r>
                    <w:r>
                      <w:rPr>
                        <w:color w:val="404040" w:themeColor="text1" w:themeTint="BF"/>
                      </w:rPr>
                      <w:instrText xml:space="preserve"> PAGE  \* MERGEFORMAT </w:instrText>
                    </w:r>
                    <w:r>
                      <w:rPr>
                        <w:color w:val="404040" w:themeColor="text1" w:themeTint="BF"/>
                      </w:rPr>
                      <w:fldChar w:fldCharType="separate"/>
                    </w:r>
                    <w:r>
                      <w:rPr>
                        <w:color w:val="404040" w:themeColor="text1" w:themeTint="BF"/>
                      </w:rPr>
                      <w:t>66</w:t>
                    </w:r>
                    <w:r>
                      <w:rPr>
                        <w:color w:val="404040" w:themeColor="text1" w:themeTint="B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02C719E" w14:textId="77777777" w:rsidR="00B872D7" w:rsidRDefault="00B872D7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40C6F" w14:textId="77777777" w:rsidR="00037826" w:rsidRDefault="00037826">
      <w:r>
        <w:separator/>
      </w:r>
    </w:p>
  </w:footnote>
  <w:footnote w:type="continuationSeparator" w:id="0">
    <w:p w14:paraId="4D828867" w14:textId="77777777" w:rsidR="00037826" w:rsidRDefault="000378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0"/>
    <w:multiLevelType w:val="multilevel"/>
    <w:tmpl w:val="00000010"/>
    <w:lvl w:ilvl="0">
      <w:start w:val="1"/>
      <w:numFmt w:val="decimal"/>
      <w:pStyle w:val="2"/>
      <w:lvlText w:val="%1"/>
      <w:lvlJc w:val="left"/>
      <w:pPr>
        <w:tabs>
          <w:tab w:val="left" w:pos="284"/>
        </w:tabs>
        <w:ind w:left="0" w:firstLine="0"/>
      </w:pPr>
      <w:rPr>
        <w:rFonts w:hint="eastAsia"/>
        <w:lang w:eastAsia="zh-CN"/>
      </w:rPr>
    </w:lvl>
    <w:lvl w:ilvl="1">
      <w:start w:val="1"/>
      <w:numFmt w:val="decimal"/>
      <w:lvlText w:val="%1.%2"/>
      <w:lvlJc w:val="left"/>
      <w:pPr>
        <w:tabs>
          <w:tab w:val="left" w:pos="454"/>
        </w:tabs>
        <w:ind w:left="0" w:firstLine="0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tabs>
          <w:tab w:val="left" w:pos="624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794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964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3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531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11AF27E5"/>
    <w:multiLevelType w:val="multilevel"/>
    <w:tmpl w:val="11AF27E5"/>
    <w:lvl w:ilvl="0">
      <w:numFmt w:val="bullet"/>
      <w:pStyle w:val="6"/>
      <w:lvlText w:val="●"/>
      <w:lvlJc w:val="left"/>
      <w:pPr>
        <w:ind w:left="420" w:hanging="420"/>
      </w:pPr>
      <w:rPr>
        <w:rFonts w:ascii="仿宋" w:eastAsia="仿宋" w:hAnsi="仿宋" w:cs="仿宋" w:hint="eastAsia"/>
        <w:sz w:val="22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4B1F37"/>
    <w:multiLevelType w:val="multilevel"/>
    <w:tmpl w:val="154B1F37"/>
    <w:lvl w:ilvl="0">
      <w:start w:val="1"/>
      <w:numFmt w:val="decimal"/>
      <w:suff w:val="space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suff w:val="space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3" w15:restartNumberingAfterBreak="0">
    <w:nsid w:val="179B5234"/>
    <w:multiLevelType w:val="multilevel"/>
    <w:tmpl w:val="179B523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宋体" w:eastAsia="宋体" w:hAnsi="宋体" w:hint="eastAsia"/>
        <w:sz w:val="36"/>
        <w:szCs w:val="36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18215CF3"/>
    <w:multiLevelType w:val="multilevel"/>
    <w:tmpl w:val="18215CF3"/>
    <w:lvl w:ilvl="0">
      <w:start w:val="1"/>
      <w:numFmt w:val="decimal"/>
      <w:suff w:val="space"/>
      <w:lvlText w:val="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5" w15:restartNumberingAfterBreak="0">
    <w:nsid w:val="41C563A4"/>
    <w:multiLevelType w:val="multilevel"/>
    <w:tmpl w:val="41C563A4"/>
    <w:lvl w:ilvl="0">
      <w:start w:val="1"/>
      <w:numFmt w:val="decimal"/>
      <w:suff w:val="space"/>
      <w:lvlText w:val="%1)"/>
      <w:lvlJc w:val="left"/>
      <w:pPr>
        <w:ind w:left="425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080" w:hanging="440"/>
      </w:pPr>
    </w:lvl>
    <w:lvl w:ilvl="2">
      <w:start w:val="1"/>
      <w:numFmt w:val="lowerRoman"/>
      <w:lvlText w:val="%3."/>
      <w:lvlJc w:val="right"/>
      <w:pPr>
        <w:ind w:left="1520" w:hanging="440"/>
      </w:pPr>
    </w:lvl>
    <w:lvl w:ilvl="3">
      <w:start w:val="1"/>
      <w:numFmt w:val="decimal"/>
      <w:lvlText w:val="%4."/>
      <w:lvlJc w:val="left"/>
      <w:pPr>
        <w:ind w:left="1960" w:hanging="440"/>
      </w:pPr>
    </w:lvl>
    <w:lvl w:ilvl="4">
      <w:start w:val="1"/>
      <w:numFmt w:val="lowerLetter"/>
      <w:lvlText w:val="%5)"/>
      <w:lvlJc w:val="left"/>
      <w:pPr>
        <w:ind w:left="2400" w:hanging="440"/>
      </w:pPr>
    </w:lvl>
    <w:lvl w:ilvl="5">
      <w:start w:val="1"/>
      <w:numFmt w:val="lowerRoman"/>
      <w:lvlText w:val="%6."/>
      <w:lvlJc w:val="right"/>
      <w:pPr>
        <w:ind w:left="2840" w:hanging="440"/>
      </w:pPr>
    </w:lvl>
    <w:lvl w:ilvl="6">
      <w:start w:val="1"/>
      <w:numFmt w:val="decimal"/>
      <w:lvlText w:val="%7."/>
      <w:lvlJc w:val="left"/>
      <w:pPr>
        <w:ind w:left="3280" w:hanging="440"/>
      </w:pPr>
    </w:lvl>
    <w:lvl w:ilvl="7">
      <w:start w:val="1"/>
      <w:numFmt w:val="lowerLetter"/>
      <w:lvlText w:val="%8)"/>
      <w:lvlJc w:val="left"/>
      <w:pPr>
        <w:ind w:left="3720" w:hanging="440"/>
      </w:pPr>
    </w:lvl>
    <w:lvl w:ilvl="8">
      <w:start w:val="1"/>
      <w:numFmt w:val="lowerRoman"/>
      <w:lvlText w:val="%9."/>
      <w:lvlJc w:val="right"/>
      <w:pPr>
        <w:ind w:left="4160" w:hanging="440"/>
      </w:pPr>
    </w:lvl>
  </w:abstractNum>
  <w:abstractNum w:abstractNumId="6" w15:restartNumberingAfterBreak="0">
    <w:nsid w:val="55C82433"/>
    <w:multiLevelType w:val="multilevel"/>
    <w:tmpl w:val="55C8243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1135"/>
        </w:tabs>
        <w:ind w:left="1135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  <w:b w:val="0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a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pStyle w:val="5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7" w15:restartNumberingAfterBreak="0">
    <w:nsid w:val="778C7A01"/>
    <w:multiLevelType w:val="multilevel"/>
    <w:tmpl w:val="778C7A01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9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417243040">
    <w:abstractNumId w:val="1"/>
  </w:num>
  <w:num w:numId="2" w16cid:durableId="486942110">
    <w:abstractNumId w:val="6"/>
  </w:num>
  <w:num w:numId="3" w16cid:durableId="56176317">
    <w:abstractNumId w:val="0"/>
  </w:num>
  <w:num w:numId="4" w16cid:durableId="486821763">
    <w:abstractNumId w:val="3"/>
  </w:num>
  <w:num w:numId="5" w16cid:durableId="339502209">
    <w:abstractNumId w:val="2"/>
  </w:num>
  <w:num w:numId="6" w16cid:durableId="1531920324">
    <w:abstractNumId w:val="4"/>
  </w:num>
  <w:num w:numId="7" w16cid:durableId="183831341">
    <w:abstractNumId w:val="5"/>
  </w:num>
  <w:num w:numId="8" w16cid:durableId="1264260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0D4"/>
    <w:rsid w:val="00010161"/>
    <w:rsid w:val="00037826"/>
    <w:rsid w:val="001C6DB8"/>
    <w:rsid w:val="00395CEC"/>
    <w:rsid w:val="003C7E19"/>
    <w:rsid w:val="00401D61"/>
    <w:rsid w:val="00416AC4"/>
    <w:rsid w:val="00473A55"/>
    <w:rsid w:val="004C1D06"/>
    <w:rsid w:val="004F5170"/>
    <w:rsid w:val="00583F3B"/>
    <w:rsid w:val="006130DB"/>
    <w:rsid w:val="00662C3D"/>
    <w:rsid w:val="00730030"/>
    <w:rsid w:val="00731808"/>
    <w:rsid w:val="008C7048"/>
    <w:rsid w:val="0099619F"/>
    <w:rsid w:val="00A370D4"/>
    <w:rsid w:val="00A74A9C"/>
    <w:rsid w:val="00B06A80"/>
    <w:rsid w:val="00B872D7"/>
    <w:rsid w:val="00CA1A61"/>
    <w:rsid w:val="00E31BA9"/>
    <w:rsid w:val="00EC073E"/>
    <w:rsid w:val="00F21C7C"/>
    <w:rsid w:val="3B6D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D76B6E"/>
  <w15:docId w15:val="{79C18563-D472-433C-9AB5-9DA8B1F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unhideWhenUsed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0">
    <w:name w:val="heading 2"/>
    <w:basedOn w:val="a0"/>
    <w:next w:val="a0"/>
    <w:link w:val="21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0"/>
    <w:next w:val="a0"/>
    <w:link w:val="40"/>
    <w:unhideWhenUsed/>
    <w:qFormat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0">
    <w:name w:val="heading 5"/>
    <w:basedOn w:val="a0"/>
    <w:next w:val="a0"/>
    <w:link w:val="51"/>
    <w:unhideWhenUsed/>
    <w:qFormat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0">
    <w:name w:val="heading 6"/>
    <w:basedOn w:val="a0"/>
    <w:next w:val="a0"/>
    <w:link w:val="61"/>
    <w:unhideWhenUsed/>
    <w:qFormat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0"/>
    <w:next w:val="a0"/>
    <w:link w:val="70"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0"/>
    <w:next w:val="a0"/>
    <w:link w:val="80"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0"/>
    <w:next w:val="a0"/>
    <w:link w:val="90"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autoRedefine/>
    <w:uiPriority w:val="39"/>
    <w:unhideWhenUsed/>
    <w:qFormat/>
    <w:pPr>
      <w:ind w:leftChars="1200" w:left="2520"/>
    </w:pPr>
    <w:rPr>
      <w:szCs w:val="22"/>
    </w:rPr>
  </w:style>
  <w:style w:type="paragraph" w:styleId="a4">
    <w:name w:val="Normal Indent"/>
    <w:basedOn w:val="a0"/>
    <w:qFormat/>
    <w:pPr>
      <w:adjustRightInd w:val="0"/>
      <w:ind w:firstLine="420"/>
      <w:jc w:val="left"/>
      <w:textAlignment w:val="baseline"/>
    </w:pPr>
    <w:rPr>
      <w:rFonts w:eastAsia="楷体_GB2312"/>
      <w:sz w:val="24"/>
    </w:rPr>
  </w:style>
  <w:style w:type="paragraph" w:styleId="a5">
    <w:name w:val="caption"/>
    <w:basedOn w:val="a0"/>
    <w:next w:val="a0"/>
    <w:qFormat/>
    <w:rPr>
      <w:rFonts w:ascii="Arial" w:eastAsia="黑体" w:hAnsi="Arial" w:cs="Arial"/>
      <w:sz w:val="20"/>
    </w:rPr>
  </w:style>
  <w:style w:type="paragraph" w:styleId="a6">
    <w:name w:val="annotation text"/>
    <w:basedOn w:val="a0"/>
    <w:link w:val="a7"/>
    <w:qFormat/>
    <w:pPr>
      <w:jc w:val="left"/>
    </w:pPr>
  </w:style>
  <w:style w:type="paragraph" w:styleId="a8">
    <w:name w:val="Body Text"/>
    <w:basedOn w:val="a0"/>
    <w:link w:val="a9"/>
    <w:uiPriority w:val="1"/>
    <w:qFormat/>
    <w:pPr>
      <w:spacing w:after="120"/>
    </w:pPr>
  </w:style>
  <w:style w:type="paragraph" w:styleId="aa">
    <w:name w:val="Body Text Indent"/>
    <w:basedOn w:val="a0"/>
    <w:link w:val="ab"/>
    <w:qFormat/>
    <w:pPr>
      <w:spacing w:after="120"/>
      <w:ind w:leftChars="200" w:left="420"/>
      <w:jc w:val="left"/>
    </w:pPr>
    <w:rPr>
      <w:rFonts w:ascii="宋体" w:hAnsi="宋体" w:cs="宋体"/>
      <w:kern w:val="0"/>
      <w:sz w:val="20"/>
      <w:szCs w:val="24"/>
      <w:lang w:eastAsia="en-US"/>
    </w:rPr>
  </w:style>
  <w:style w:type="paragraph" w:styleId="TOC5">
    <w:name w:val="toc 5"/>
    <w:basedOn w:val="a0"/>
    <w:next w:val="a0"/>
    <w:autoRedefine/>
    <w:uiPriority w:val="39"/>
    <w:unhideWhenUsed/>
    <w:pPr>
      <w:ind w:leftChars="800" w:left="1680"/>
    </w:pPr>
    <w:rPr>
      <w:szCs w:val="22"/>
    </w:rPr>
  </w:style>
  <w:style w:type="paragraph" w:styleId="TOC3">
    <w:name w:val="toc 3"/>
    <w:basedOn w:val="a0"/>
    <w:next w:val="a0"/>
    <w:autoRedefine/>
    <w:uiPriority w:val="39"/>
    <w:qFormat/>
    <w:pPr>
      <w:ind w:leftChars="400" w:left="840"/>
    </w:pPr>
  </w:style>
  <w:style w:type="paragraph" w:styleId="ac">
    <w:name w:val="Plain Text"/>
    <w:basedOn w:val="a0"/>
    <w:link w:val="ad"/>
    <w:qFormat/>
    <w:rPr>
      <w:rFonts w:ascii="宋体" w:eastAsia="楷体_GB2312" w:hAnsi="Courier New"/>
      <w:sz w:val="28"/>
    </w:rPr>
  </w:style>
  <w:style w:type="paragraph" w:styleId="TOC8">
    <w:name w:val="toc 8"/>
    <w:basedOn w:val="a0"/>
    <w:next w:val="a0"/>
    <w:autoRedefine/>
    <w:uiPriority w:val="39"/>
    <w:unhideWhenUsed/>
    <w:qFormat/>
    <w:pPr>
      <w:ind w:leftChars="1400" w:left="2940"/>
    </w:pPr>
    <w:rPr>
      <w:szCs w:val="22"/>
    </w:rPr>
  </w:style>
  <w:style w:type="paragraph" w:styleId="ae">
    <w:name w:val="Date"/>
    <w:basedOn w:val="a0"/>
    <w:next w:val="a0"/>
    <w:link w:val="af"/>
    <w:qFormat/>
    <w:rPr>
      <w:rFonts w:ascii="宋体" w:eastAsia="楷体_GB2312" w:hAnsi="宋体"/>
      <w:sz w:val="24"/>
    </w:rPr>
  </w:style>
  <w:style w:type="paragraph" w:styleId="af0">
    <w:name w:val="Balloon Text"/>
    <w:basedOn w:val="a0"/>
    <w:link w:val="af1"/>
    <w:qFormat/>
    <w:rPr>
      <w:sz w:val="18"/>
      <w:szCs w:val="18"/>
    </w:rPr>
  </w:style>
  <w:style w:type="paragraph" w:styleId="af2">
    <w:name w:val="footer"/>
    <w:basedOn w:val="a0"/>
    <w:link w:val="af3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4">
    <w:name w:val="header"/>
    <w:basedOn w:val="a0"/>
    <w:link w:val="af5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0"/>
    <w:next w:val="a0"/>
    <w:uiPriority w:val="39"/>
    <w:qFormat/>
    <w:rPr>
      <w:sz w:val="32"/>
    </w:rPr>
  </w:style>
  <w:style w:type="paragraph" w:styleId="TOC4">
    <w:name w:val="toc 4"/>
    <w:basedOn w:val="a0"/>
    <w:next w:val="a0"/>
    <w:autoRedefine/>
    <w:uiPriority w:val="39"/>
    <w:qFormat/>
    <w:pPr>
      <w:ind w:leftChars="600" w:left="1260"/>
    </w:pPr>
  </w:style>
  <w:style w:type="paragraph" w:styleId="af6">
    <w:name w:val="Subtitle"/>
    <w:basedOn w:val="a0"/>
    <w:next w:val="a0"/>
    <w:link w:val="af7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TOC6">
    <w:name w:val="toc 6"/>
    <w:basedOn w:val="a0"/>
    <w:next w:val="a0"/>
    <w:autoRedefine/>
    <w:uiPriority w:val="39"/>
    <w:unhideWhenUsed/>
    <w:qFormat/>
    <w:pPr>
      <w:ind w:leftChars="1000" w:left="2100"/>
    </w:pPr>
    <w:rPr>
      <w:szCs w:val="22"/>
    </w:rPr>
  </w:style>
  <w:style w:type="paragraph" w:styleId="TOC2">
    <w:name w:val="toc 2"/>
    <w:basedOn w:val="a0"/>
    <w:next w:val="a0"/>
    <w:uiPriority w:val="39"/>
    <w:qFormat/>
    <w:pPr>
      <w:spacing w:beforeLines="50" w:before="156" w:afterLines="50" w:after="156"/>
      <w:ind w:leftChars="200" w:left="420"/>
    </w:pPr>
  </w:style>
  <w:style w:type="paragraph" w:styleId="TOC9">
    <w:name w:val="toc 9"/>
    <w:basedOn w:val="a0"/>
    <w:next w:val="a0"/>
    <w:autoRedefine/>
    <w:uiPriority w:val="39"/>
    <w:unhideWhenUsed/>
    <w:qFormat/>
    <w:pPr>
      <w:ind w:leftChars="1600" w:left="3360"/>
    </w:pPr>
    <w:rPr>
      <w:szCs w:val="22"/>
    </w:rPr>
  </w:style>
  <w:style w:type="paragraph" w:styleId="af8">
    <w:name w:val="Normal (Web)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24"/>
      <w:szCs w:val="24"/>
    </w:rPr>
  </w:style>
  <w:style w:type="paragraph" w:styleId="af9">
    <w:name w:val="Title"/>
    <w:basedOn w:val="a0"/>
    <w:next w:val="a0"/>
    <w:link w:val="afa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b">
    <w:name w:val="annotation subject"/>
    <w:basedOn w:val="a6"/>
    <w:next w:val="a6"/>
    <w:link w:val="afc"/>
    <w:qFormat/>
    <w:rPr>
      <w:b/>
      <w:bCs/>
    </w:rPr>
  </w:style>
  <w:style w:type="paragraph" w:styleId="afd">
    <w:name w:val="Body Text First Indent"/>
    <w:basedOn w:val="a8"/>
    <w:link w:val="afe"/>
    <w:qFormat/>
    <w:pPr>
      <w:spacing w:after="0" w:line="312" w:lineRule="auto"/>
      <w:ind w:firstLine="420"/>
      <w:jc w:val="left"/>
    </w:pPr>
    <w:rPr>
      <w:rFonts w:cs="宋体"/>
      <w:kern w:val="0"/>
      <w:sz w:val="20"/>
      <w:szCs w:val="24"/>
      <w:lang w:eastAsia="en-US"/>
    </w:rPr>
  </w:style>
  <w:style w:type="paragraph" w:styleId="22">
    <w:name w:val="Body Text First Indent 2"/>
    <w:basedOn w:val="aa"/>
    <w:next w:val="a0"/>
    <w:link w:val="23"/>
    <w:qFormat/>
    <w:pPr>
      <w:widowControl/>
      <w:spacing w:afterLines="50" w:after="50"/>
      <w:ind w:left="200" w:firstLineChars="200" w:firstLine="200"/>
    </w:pPr>
    <w:rPr>
      <w:kern w:val="2"/>
      <w:sz w:val="24"/>
      <w:szCs w:val="18"/>
    </w:rPr>
  </w:style>
  <w:style w:type="table" w:styleId="aff">
    <w:name w:val="Table Grid"/>
    <w:basedOn w:val="a2"/>
    <w:uiPriority w:val="99"/>
    <w:qFormat/>
    <w:pPr>
      <w:widowControl w:val="0"/>
      <w:jc w:val="both"/>
    </w:pPr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age number"/>
    <w:qFormat/>
  </w:style>
  <w:style w:type="character" w:styleId="aff1">
    <w:name w:val="FollowedHyperlink"/>
    <w:qFormat/>
    <w:rPr>
      <w:color w:val="333333"/>
      <w:u w:val="none"/>
    </w:rPr>
  </w:style>
  <w:style w:type="character" w:styleId="aff2">
    <w:name w:val="Hyperlink"/>
    <w:uiPriority w:val="99"/>
    <w:qFormat/>
    <w:rPr>
      <w:color w:val="333333"/>
      <w:u w:val="none"/>
    </w:rPr>
  </w:style>
  <w:style w:type="character" w:styleId="aff3">
    <w:name w:val="annotation reference"/>
    <w:qFormat/>
    <w:rPr>
      <w:sz w:val="21"/>
      <w:szCs w:val="21"/>
    </w:rPr>
  </w:style>
  <w:style w:type="character" w:customStyle="1" w:styleId="10">
    <w:name w:val="标题 1 字符"/>
    <w:basedOn w:val="a1"/>
    <w:link w:val="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1">
    <w:name w:val="标题 2 字符"/>
    <w:basedOn w:val="a1"/>
    <w:link w:val="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1">
    <w:name w:val="标题 5 字符"/>
    <w:basedOn w:val="a1"/>
    <w:link w:val="50"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1">
    <w:name w:val="标题 6 字符"/>
    <w:basedOn w:val="a1"/>
    <w:link w:val="60"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qFormat/>
    <w:rPr>
      <w:rFonts w:eastAsiaTheme="majorEastAsia" w:cstheme="majorBidi"/>
      <w:color w:val="595959" w:themeColor="text1" w:themeTint="A6"/>
    </w:rPr>
  </w:style>
  <w:style w:type="character" w:customStyle="1" w:styleId="afa">
    <w:name w:val="标题 字符"/>
    <w:basedOn w:val="a1"/>
    <w:link w:val="af9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副标题 字符"/>
    <w:basedOn w:val="a1"/>
    <w:link w:val="af6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f4">
    <w:name w:val="Quote"/>
    <w:basedOn w:val="a0"/>
    <w:next w:val="a0"/>
    <w:link w:val="aff5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f5">
    <w:name w:val="引用 字符"/>
    <w:basedOn w:val="a1"/>
    <w:link w:val="aff4"/>
    <w:uiPriority w:val="29"/>
    <w:qFormat/>
    <w:rPr>
      <w:i/>
      <w:iCs/>
      <w:color w:val="404040" w:themeColor="text1" w:themeTint="BF"/>
    </w:rPr>
  </w:style>
  <w:style w:type="paragraph" w:styleId="aff6">
    <w:name w:val="List Paragraph"/>
    <w:basedOn w:val="a0"/>
    <w:uiPriority w:val="34"/>
    <w:qFormat/>
    <w:pPr>
      <w:ind w:left="720"/>
      <w:contextualSpacing/>
    </w:pPr>
  </w:style>
  <w:style w:type="character" w:customStyle="1" w:styleId="11">
    <w:name w:val="明显强调1"/>
    <w:basedOn w:val="a1"/>
    <w:uiPriority w:val="21"/>
    <w:qFormat/>
    <w:rPr>
      <w:i/>
      <w:iCs/>
      <w:color w:val="2F5496" w:themeColor="accent1" w:themeShade="BF"/>
    </w:rPr>
  </w:style>
  <w:style w:type="paragraph" w:styleId="aff7">
    <w:name w:val="Intense Quote"/>
    <w:basedOn w:val="a0"/>
    <w:next w:val="a0"/>
    <w:link w:val="aff8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f8">
    <w:name w:val="明显引用 字符"/>
    <w:basedOn w:val="a1"/>
    <w:link w:val="aff7"/>
    <w:uiPriority w:val="30"/>
    <w:rPr>
      <w:i/>
      <w:iCs/>
      <w:color w:val="2F5496" w:themeColor="accent1" w:themeShade="BF"/>
    </w:rPr>
  </w:style>
  <w:style w:type="character" w:customStyle="1" w:styleId="12">
    <w:name w:val="明显参考1"/>
    <w:basedOn w:val="a1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f5">
    <w:name w:val="页眉 字符"/>
    <w:basedOn w:val="a1"/>
    <w:link w:val="af4"/>
    <w:uiPriority w:val="99"/>
    <w:rPr>
      <w:sz w:val="18"/>
      <w:szCs w:val="18"/>
    </w:rPr>
  </w:style>
  <w:style w:type="character" w:customStyle="1" w:styleId="af3">
    <w:name w:val="页脚 字符"/>
    <w:basedOn w:val="a1"/>
    <w:link w:val="af2"/>
    <w:uiPriority w:val="99"/>
    <w:qFormat/>
    <w:rPr>
      <w:sz w:val="18"/>
      <w:szCs w:val="18"/>
    </w:rPr>
  </w:style>
  <w:style w:type="character" w:customStyle="1" w:styleId="a7">
    <w:name w:val="批注文字 字符"/>
    <w:basedOn w:val="a1"/>
    <w:link w:val="a6"/>
    <w:qFormat/>
    <w:rPr>
      <w:rFonts w:ascii="Calibri" w:eastAsia="宋体" w:hAnsi="Calibri" w:cs="Times New Roman"/>
      <w:szCs w:val="20"/>
    </w:rPr>
  </w:style>
  <w:style w:type="character" w:customStyle="1" w:styleId="a9">
    <w:name w:val="正文文本 字符"/>
    <w:basedOn w:val="a1"/>
    <w:link w:val="a8"/>
    <w:uiPriority w:val="1"/>
    <w:qFormat/>
    <w:rPr>
      <w:rFonts w:ascii="Calibri" w:eastAsia="宋体" w:hAnsi="Calibri" w:cs="Times New Roman"/>
      <w:szCs w:val="20"/>
    </w:rPr>
  </w:style>
  <w:style w:type="character" w:customStyle="1" w:styleId="ad">
    <w:name w:val="纯文本 字符"/>
    <w:basedOn w:val="a1"/>
    <w:link w:val="ac"/>
    <w:qFormat/>
    <w:rPr>
      <w:rFonts w:ascii="宋体" w:eastAsia="楷体_GB2312" w:hAnsi="Courier New" w:cs="Times New Roman"/>
      <w:sz w:val="28"/>
      <w:szCs w:val="20"/>
    </w:rPr>
  </w:style>
  <w:style w:type="character" w:customStyle="1" w:styleId="af">
    <w:name w:val="日期 字符"/>
    <w:basedOn w:val="a1"/>
    <w:link w:val="ae"/>
    <w:qFormat/>
    <w:rPr>
      <w:rFonts w:ascii="宋体" w:eastAsia="楷体_GB2312" w:hAnsi="宋体" w:cs="Times New Roman"/>
      <w:sz w:val="24"/>
      <w:szCs w:val="20"/>
    </w:rPr>
  </w:style>
  <w:style w:type="character" w:customStyle="1" w:styleId="af1">
    <w:name w:val="批注框文本 字符"/>
    <w:basedOn w:val="a1"/>
    <w:link w:val="af0"/>
    <w:qFormat/>
    <w:rPr>
      <w:rFonts w:ascii="Calibri" w:eastAsia="宋体" w:hAnsi="Calibri" w:cs="Times New Roman"/>
      <w:sz w:val="18"/>
      <w:szCs w:val="18"/>
    </w:rPr>
  </w:style>
  <w:style w:type="character" w:customStyle="1" w:styleId="afc">
    <w:name w:val="批注主题 字符"/>
    <w:basedOn w:val="a7"/>
    <w:link w:val="afb"/>
    <w:qFormat/>
    <w:rPr>
      <w:rFonts w:ascii="Calibri" w:eastAsia="宋体" w:hAnsi="Calibri" w:cs="Times New Roman"/>
      <w:b/>
      <w:bCs/>
      <w:szCs w:val="20"/>
    </w:rPr>
  </w:style>
  <w:style w:type="character" w:customStyle="1" w:styleId="13">
    <w:name w:val="占位符文本1"/>
    <w:uiPriority w:val="99"/>
    <w:semiHidden/>
    <w:qFormat/>
    <w:rPr>
      <w:color w:val="80808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14">
    <w:name w:val="修订1"/>
    <w:uiPriority w:val="99"/>
    <w:unhideWhenUsed/>
    <w:rPr>
      <w:rFonts w:ascii="Calibri" w:eastAsia="宋体" w:hAnsi="Calibri" w:cs="Times New Roman"/>
      <w:kern w:val="2"/>
      <w:sz w:val="21"/>
    </w:rPr>
  </w:style>
  <w:style w:type="paragraph" w:customStyle="1" w:styleId="Style2">
    <w:name w:val="_Style 2"/>
    <w:basedOn w:val="a0"/>
    <w:uiPriority w:val="34"/>
    <w:qFormat/>
    <w:pPr>
      <w:ind w:firstLineChars="200" w:firstLine="420"/>
    </w:pPr>
    <w:rPr>
      <w:szCs w:val="22"/>
    </w:rPr>
  </w:style>
  <w:style w:type="paragraph" w:customStyle="1" w:styleId="z-1">
    <w:name w:val="z-窗体底端1"/>
    <w:basedOn w:val="a0"/>
    <w:next w:val="a0"/>
    <w:qFormat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15">
    <w:name w:val="修订1"/>
    <w:uiPriority w:val="99"/>
    <w:semiHidden/>
    <w:qFormat/>
    <w:rPr>
      <w:rFonts w:ascii="Calibri" w:eastAsia="宋体" w:hAnsi="Calibri" w:cs="Times New Roman"/>
      <w:kern w:val="2"/>
      <w:sz w:val="21"/>
    </w:rPr>
  </w:style>
  <w:style w:type="paragraph" w:customStyle="1" w:styleId="z-10">
    <w:name w:val="z-窗体顶端1"/>
    <w:basedOn w:val="a0"/>
    <w:next w:val="a0"/>
    <w:qFormat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16">
    <w:name w:val="列表段落1"/>
    <w:basedOn w:val="a0"/>
    <w:uiPriority w:val="34"/>
    <w:qFormat/>
    <w:pPr>
      <w:ind w:firstLineChars="200" w:firstLine="420"/>
    </w:pPr>
    <w:rPr>
      <w:szCs w:val="22"/>
    </w:rPr>
  </w:style>
  <w:style w:type="paragraph" w:customStyle="1" w:styleId="17">
    <w:name w:val="纯文本1"/>
    <w:basedOn w:val="a0"/>
    <w:qFormat/>
    <w:pPr>
      <w:adjustRightInd w:val="0"/>
      <w:textAlignment w:val="baseline"/>
    </w:pPr>
    <w:rPr>
      <w:rFonts w:ascii="宋体" w:eastAsia="楷体_GB2312" w:hAnsi="Courier New"/>
      <w:sz w:val="28"/>
    </w:rPr>
  </w:style>
  <w:style w:type="character" w:customStyle="1" w:styleId="18">
    <w:name w:val="未处理的提及1"/>
    <w:uiPriority w:val="99"/>
    <w:unhideWhenUsed/>
    <w:rPr>
      <w:color w:val="605E5C"/>
      <w:shd w:val="clear" w:color="auto" w:fill="E1DFDD"/>
    </w:rPr>
  </w:style>
  <w:style w:type="character" w:customStyle="1" w:styleId="ab">
    <w:name w:val="正文文本缩进 字符"/>
    <w:basedOn w:val="a1"/>
    <w:link w:val="aa"/>
    <w:qFormat/>
    <w:rPr>
      <w:rFonts w:ascii="宋体" w:eastAsia="宋体" w:hAnsi="宋体" w:cs="宋体"/>
      <w:kern w:val="0"/>
      <w:sz w:val="20"/>
      <w:szCs w:val="24"/>
      <w:lang w:eastAsia="en-US"/>
    </w:rPr>
  </w:style>
  <w:style w:type="character" w:customStyle="1" w:styleId="afe">
    <w:name w:val="正文文本首行缩进 字符"/>
    <w:basedOn w:val="a9"/>
    <w:link w:val="afd"/>
    <w:qFormat/>
    <w:rPr>
      <w:rFonts w:ascii="Calibri" w:eastAsia="宋体" w:hAnsi="Calibri" w:cs="宋体"/>
      <w:kern w:val="0"/>
      <w:sz w:val="20"/>
      <w:szCs w:val="24"/>
      <w:lang w:eastAsia="en-US"/>
    </w:rPr>
  </w:style>
  <w:style w:type="character" w:customStyle="1" w:styleId="23">
    <w:name w:val="正文文本首行缩进 2 字符"/>
    <w:basedOn w:val="ab"/>
    <w:link w:val="22"/>
    <w:qFormat/>
    <w:rPr>
      <w:rFonts w:ascii="宋体" w:eastAsia="宋体" w:hAnsi="宋体" w:cs="宋体"/>
      <w:kern w:val="0"/>
      <w:sz w:val="24"/>
      <w:szCs w:val="18"/>
      <w:lang w:eastAsia="en-US"/>
    </w:rPr>
  </w:style>
  <w:style w:type="paragraph" w:customStyle="1" w:styleId="p16">
    <w:name w:val="p16"/>
    <w:basedOn w:val="a0"/>
    <w:next w:val="TOC2"/>
    <w:qFormat/>
    <w:pPr>
      <w:widowControl/>
      <w:spacing w:line="400" w:lineRule="atLeast"/>
      <w:jc w:val="left"/>
    </w:pPr>
    <w:rPr>
      <w:rFonts w:ascii="宋体" w:hAnsi="宋体" w:cs="宋体"/>
      <w:kern w:val="0"/>
      <w:sz w:val="24"/>
      <w:szCs w:val="22"/>
      <w:lang w:eastAsia="en-US"/>
    </w:rPr>
  </w:style>
  <w:style w:type="table" w:customStyle="1" w:styleId="TableNormal">
    <w:name w:val="Table Normal"/>
    <w:semiHidden/>
    <w:unhideWhenUsed/>
    <w:qFormat/>
    <w:rPr>
      <w:rFonts w:ascii="Times New Roman" w:eastAsia="宋体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9">
    <w:name w:val="列出段落1"/>
    <w:basedOn w:val="a0"/>
    <w:uiPriority w:val="34"/>
    <w:qFormat/>
    <w:pPr>
      <w:jc w:val="left"/>
    </w:pPr>
    <w:rPr>
      <w:rFonts w:ascii="宋体" w:hAnsi="宋体" w:cs="宋体"/>
      <w:kern w:val="0"/>
      <w:sz w:val="22"/>
      <w:szCs w:val="24"/>
    </w:rPr>
  </w:style>
  <w:style w:type="paragraph" w:customStyle="1" w:styleId="TableParagraph">
    <w:name w:val="Table Paragraph"/>
    <w:basedOn w:val="a0"/>
    <w:uiPriority w:val="1"/>
    <w:qFormat/>
    <w:pPr>
      <w:jc w:val="left"/>
    </w:pPr>
    <w:rPr>
      <w:rFonts w:ascii="宋体" w:hAnsi="宋体" w:cs="宋体"/>
      <w:kern w:val="0"/>
      <w:sz w:val="22"/>
      <w:szCs w:val="22"/>
      <w:lang w:eastAsia="en-US"/>
    </w:rPr>
  </w:style>
  <w:style w:type="paragraph" w:customStyle="1" w:styleId="TableText">
    <w:name w:val="Table Text"/>
    <w:basedOn w:val="a0"/>
    <w:semiHidden/>
    <w:qFormat/>
    <w:pPr>
      <w:jc w:val="left"/>
    </w:pPr>
    <w:rPr>
      <w:rFonts w:ascii="宋体" w:hAnsi="宋体" w:cs="宋体"/>
      <w:kern w:val="0"/>
      <w:sz w:val="24"/>
      <w:szCs w:val="24"/>
      <w:lang w:eastAsia="en-US"/>
    </w:rPr>
  </w:style>
  <w:style w:type="paragraph" w:styleId="aff9">
    <w:name w:val="No Spacing"/>
    <w:uiPriority w:val="1"/>
    <w:qFormat/>
    <w:pPr>
      <w:widowControl w:val="0"/>
      <w:spacing w:line="440" w:lineRule="exact"/>
      <w:ind w:firstLine="200"/>
      <w:jc w:val="both"/>
    </w:pPr>
    <w:rPr>
      <w:rFonts w:ascii="Arial Unicode MS" w:eastAsia="Arial Rounded MT Bold" w:hAnsi="Arial Unicode MS" w:cs="Arial Unicode MS"/>
      <w:color w:val="000000"/>
      <w:kern w:val="2"/>
      <w:sz w:val="21"/>
      <w:szCs w:val="21"/>
      <w:u w:color="000000"/>
    </w:rPr>
  </w:style>
  <w:style w:type="paragraph" w:customStyle="1" w:styleId="affa">
    <w:name w:val="正文格式"/>
    <w:basedOn w:val="a0"/>
    <w:qFormat/>
    <w:pPr>
      <w:widowControl/>
      <w:adjustRightInd w:val="0"/>
      <w:snapToGrid w:val="0"/>
      <w:spacing w:line="400" w:lineRule="atLeast"/>
      <w:ind w:firstLineChars="200" w:firstLine="482"/>
      <w:jc w:val="left"/>
    </w:pPr>
    <w:rPr>
      <w:rFonts w:cs="Calibri"/>
      <w:kern w:val="0"/>
      <w:sz w:val="24"/>
      <w:szCs w:val="22"/>
      <w:lang w:eastAsia="en-US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toolbarlabel">
    <w:name w:val="toolbarlabel"/>
    <w:qFormat/>
    <w:rPr>
      <w:color w:val="333333"/>
      <w:sz w:val="12"/>
      <w:szCs w:val="12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 w:val="0"/>
      <w:keepLines w:val="0"/>
      <w:spacing w:before="240" w:after="0" w:line="259" w:lineRule="auto"/>
      <w:ind w:left="3"/>
      <w:jc w:val="left"/>
      <w:outlineLvl w:val="9"/>
    </w:pPr>
    <w:rPr>
      <w:rFonts w:ascii="Cambria" w:eastAsia="宋体" w:hAnsi="Cambria" w:cs="Times New Roman"/>
      <w:color w:val="365F91"/>
      <w:kern w:val="0"/>
      <w:sz w:val="32"/>
      <w:szCs w:val="32"/>
    </w:rPr>
  </w:style>
  <w:style w:type="paragraph" w:customStyle="1" w:styleId="Style24">
    <w:name w:val="_Style 24"/>
    <w:basedOn w:val="aa"/>
    <w:next w:val="a0"/>
    <w:qFormat/>
    <w:pPr>
      <w:spacing w:after="0"/>
      <w:ind w:leftChars="0" w:left="0" w:firstLineChars="200" w:firstLine="420"/>
    </w:pPr>
    <w:rPr>
      <w:color w:val="000000"/>
      <w:kern w:val="2"/>
      <w:sz w:val="21"/>
      <w:lang w:eastAsia="zh-CN"/>
    </w:rPr>
  </w:style>
  <w:style w:type="paragraph" w:customStyle="1" w:styleId="24">
    <w:name w:val="列出段落2"/>
    <w:basedOn w:val="a0"/>
    <w:uiPriority w:val="34"/>
    <w:qFormat/>
    <w:pPr>
      <w:spacing w:line="480" w:lineRule="exact"/>
      <w:ind w:left="420" w:hanging="420"/>
      <w:jc w:val="left"/>
    </w:pPr>
    <w:rPr>
      <w:rFonts w:cs="宋体"/>
      <w:sz w:val="22"/>
      <w:szCs w:val="22"/>
    </w:rPr>
  </w:style>
  <w:style w:type="paragraph" w:customStyle="1" w:styleId="6">
    <w:name w:val="样式6"/>
    <w:basedOn w:val="5"/>
    <w:qFormat/>
    <w:pPr>
      <w:numPr>
        <w:ilvl w:val="0"/>
        <w:numId w:val="1"/>
      </w:numPr>
      <w:tabs>
        <w:tab w:val="left" w:pos="1134"/>
      </w:tabs>
      <w:ind w:left="1134" w:hanging="1134"/>
    </w:pPr>
  </w:style>
  <w:style w:type="paragraph" w:customStyle="1" w:styleId="5">
    <w:name w:val="样式5"/>
    <w:basedOn w:val="a6"/>
    <w:qFormat/>
    <w:pPr>
      <w:numPr>
        <w:ilvl w:val="5"/>
        <w:numId w:val="2"/>
      </w:numPr>
      <w:tabs>
        <w:tab w:val="clear" w:pos="1134"/>
        <w:tab w:val="left" w:pos="992"/>
      </w:tabs>
      <w:ind w:left="992" w:hanging="992"/>
      <w:jc w:val="both"/>
    </w:pPr>
    <w:rPr>
      <w:rFonts w:ascii="宋体" w:hAnsi="宋体"/>
      <w:sz w:val="22"/>
      <w:szCs w:val="28"/>
    </w:rPr>
  </w:style>
  <w:style w:type="paragraph" w:customStyle="1" w:styleId="a">
    <w:name w:val="标书正文"/>
    <w:basedOn w:val="a0"/>
    <w:qFormat/>
    <w:pPr>
      <w:numPr>
        <w:ilvl w:val="4"/>
        <w:numId w:val="2"/>
      </w:numPr>
      <w:tabs>
        <w:tab w:val="clear" w:pos="992"/>
      </w:tabs>
      <w:ind w:left="0" w:firstLineChars="200" w:firstLine="200"/>
      <w:jc w:val="left"/>
    </w:pPr>
    <w:rPr>
      <w:rFonts w:ascii="宋体" w:hAnsi="宋体" w:cs="黑体"/>
      <w:kern w:val="0"/>
      <w:sz w:val="22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</w:rPr>
  </w:style>
  <w:style w:type="paragraph" w:customStyle="1" w:styleId="41">
    <w:name w:val="标题 4_1"/>
    <w:basedOn w:val="1201"/>
    <w:next w:val="1201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customStyle="1" w:styleId="1201">
    <w:name w:val="正文_12_0_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customStyle="1" w:styleId="180">
    <w:name w:val="正文_18"/>
    <w:basedOn w:val="1200"/>
    <w:qFormat/>
    <w:rPr>
      <w:szCs w:val="21"/>
    </w:rPr>
  </w:style>
  <w:style w:type="paragraph" w:customStyle="1" w:styleId="1200">
    <w:name w:val="正文_12_0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customStyle="1" w:styleId="25">
    <w:name w:val="正文缩进2"/>
    <w:basedOn w:val="a0"/>
    <w:autoRedefine/>
    <w:qFormat/>
    <w:pPr>
      <w:ind w:firstLineChars="200" w:firstLine="456"/>
    </w:pPr>
    <w:rPr>
      <w:spacing w:val="4"/>
      <w:kern w:val="0"/>
      <w:szCs w:val="24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="Times New Roman" w:eastAsia="宋体" w:hAnsi="Times New Roman" w:cs="Times New Roman"/>
    </w:rPr>
  </w:style>
  <w:style w:type="paragraph" w:customStyle="1" w:styleId="FAW">
    <w:name w:val="FAW正文"/>
    <w:basedOn w:val="a0"/>
    <w:autoRedefine/>
    <w:uiPriority w:val="99"/>
    <w:qFormat/>
    <w:pPr>
      <w:spacing w:line="300" w:lineRule="auto"/>
      <w:ind w:firstLineChars="200" w:firstLine="200"/>
    </w:pPr>
    <w:rPr>
      <w:sz w:val="24"/>
      <w:szCs w:val="24"/>
      <w:lang w:val="zh-CN"/>
    </w:rPr>
  </w:style>
  <w:style w:type="paragraph" w:customStyle="1" w:styleId="affb">
    <w:name w:val="a"/>
    <w:basedOn w:val="3"/>
    <w:link w:val="affc"/>
    <w:autoRedefine/>
    <w:qFormat/>
    <w:pPr>
      <w:adjustRightInd w:val="0"/>
      <w:snapToGrid w:val="0"/>
      <w:spacing w:before="120" w:after="120"/>
      <w:ind w:left="720" w:hanging="720"/>
      <w:jc w:val="left"/>
    </w:pPr>
    <w:rPr>
      <w:rFonts w:ascii="Calibri" w:eastAsia="宋体" w:hAnsi="Calibri" w:cs="宋体"/>
      <w:color w:val="auto"/>
      <w:sz w:val="28"/>
      <w:szCs w:val="28"/>
      <w:lang w:eastAsia="en-US"/>
    </w:rPr>
  </w:style>
  <w:style w:type="character" w:customStyle="1" w:styleId="affc">
    <w:name w:val="a 字符"/>
    <w:link w:val="affb"/>
    <w:autoRedefine/>
    <w:qFormat/>
    <w:rPr>
      <w:rFonts w:ascii="Calibri" w:eastAsia="宋体" w:hAnsi="Calibri" w:cs="宋体"/>
      <w:sz w:val="28"/>
      <w:szCs w:val="28"/>
      <w:lang w:eastAsia="en-US"/>
    </w:rPr>
  </w:style>
  <w:style w:type="paragraph" w:customStyle="1" w:styleId="HR">
    <w:name w:val="HR正文"/>
    <w:basedOn w:val="a0"/>
    <w:link w:val="HRChar1"/>
    <w:autoRedefine/>
    <w:qFormat/>
    <w:pPr>
      <w:spacing w:line="300" w:lineRule="auto"/>
      <w:ind w:firstLineChars="200" w:firstLine="200"/>
    </w:pPr>
    <w:rPr>
      <w:rFonts w:ascii="Times New Roman" w:hAnsi="Times New Roman"/>
      <w:sz w:val="24"/>
      <w:szCs w:val="24"/>
    </w:rPr>
  </w:style>
  <w:style w:type="character" w:customStyle="1" w:styleId="HRChar1">
    <w:name w:val="HR正文 Char1"/>
    <w:link w:val="HR"/>
    <w:autoRedefine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f01">
    <w:name w:val="cf01"/>
    <w:qFormat/>
    <w:rPr>
      <w:rFonts w:ascii="Microsoft YaHei UI" w:eastAsia="Microsoft YaHei UI" w:hAnsi="Microsoft YaHei UI" w:cs="Microsoft YaHei UI"/>
      <w:sz w:val="18"/>
      <w:szCs w:val="18"/>
    </w:rPr>
  </w:style>
  <w:style w:type="character" w:customStyle="1" w:styleId="cf11">
    <w:name w:val="cf11"/>
    <w:autoRedefine/>
    <w:qFormat/>
    <w:rPr>
      <w:rFonts w:ascii="Microsoft YaHei UI" w:eastAsia="Microsoft YaHei UI" w:hAnsi="Microsoft YaHei UI" w:cs="Microsoft YaHei UI" w:hint="eastAsia"/>
      <w:sz w:val="18"/>
      <w:szCs w:val="18"/>
    </w:rPr>
  </w:style>
  <w:style w:type="character" w:customStyle="1" w:styleId="affd">
    <w:name w:val="列表段落 字符"/>
    <w:link w:val="msolistparagraph0"/>
    <w:autoRedefine/>
    <w:qFormat/>
    <w:rPr>
      <w:szCs w:val="24"/>
    </w:rPr>
  </w:style>
  <w:style w:type="paragraph" w:customStyle="1" w:styleId="msolistparagraph0">
    <w:name w:val="msolistparagraph"/>
    <w:basedOn w:val="a0"/>
    <w:link w:val="affd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修订11"/>
    <w:autoRedefine/>
    <w:hidden/>
    <w:uiPriority w:val="99"/>
    <w:semiHidden/>
    <w:qFormat/>
    <w:rPr>
      <w:rFonts w:ascii="Calibri" w:eastAsia="宋体" w:hAnsi="Calibri" w:cs="Times New Roman"/>
      <w:kern w:val="2"/>
      <w:sz w:val="21"/>
      <w:szCs w:val="24"/>
    </w:rPr>
  </w:style>
  <w:style w:type="paragraph" w:customStyle="1" w:styleId="2">
    <w:name w:val="修订2"/>
    <w:autoRedefine/>
    <w:hidden/>
    <w:uiPriority w:val="99"/>
    <w:semiHidden/>
    <w:qFormat/>
    <w:pPr>
      <w:numPr>
        <w:numId w:val="3"/>
      </w:numPr>
      <w:tabs>
        <w:tab w:val="clear" w:pos="284"/>
      </w:tabs>
    </w:pPr>
    <w:rPr>
      <w:rFonts w:ascii="Calibri" w:eastAsia="宋体" w:hAnsi="Calibri" w:cs="Times New Roman"/>
      <w:kern w:val="2"/>
      <w:sz w:val="21"/>
      <w:szCs w:val="24"/>
    </w:rPr>
  </w:style>
  <w:style w:type="character" w:customStyle="1" w:styleId="HRChar">
    <w:name w:val="HR正文 Char"/>
    <w:autoRedefine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FAW2">
    <w:name w:val="FAW标题2"/>
    <w:basedOn w:val="a0"/>
    <w:next w:val="FAW"/>
    <w:autoRedefine/>
    <w:qFormat/>
    <w:pPr>
      <w:tabs>
        <w:tab w:val="left" w:pos="284"/>
      </w:tabs>
      <w:spacing w:line="360" w:lineRule="auto"/>
      <w:outlineLvl w:val="1"/>
    </w:pPr>
    <w:rPr>
      <w:rFonts w:ascii="Times New Roman" w:eastAsia="黑体" w:hAnsi="Times New Roman"/>
      <w:sz w:val="24"/>
      <w:szCs w:val="24"/>
    </w:rPr>
  </w:style>
  <w:style w:type="character" w:customStyle="1" w:styleId="viiyi">
    <w:name w:val="viiyi"/>
    <w:basedOn w:val="a1"/>
    <w:autoRedefine/>
    <w:qFormat/>
  </w:style>
  <w:style w:type="character" w:customStyle="1" w:styleId="q4iawc">
    <w:name w:val="q4iawc"/>
    <w:basedOn w:val="a1"/>
    <w:autoRedefine/>
    <w:qFormat/>
  </w:style>
  <w:style w:type="paragraph" w:customStyle="1" w:styleId="31">
    <w:name w:val="修订3"/>
    <w:autoRedefine/>
    <w:hidden/>
    <w:uiPriority w:val="99"/>
    <w:semiHidden/>
    <w:qFormat/>
    <w:rPr>
      <w:rFonts w:ascii="Calibri" w:eastAsia="宋体" w:hAnsi="Calibri" w:cs="Times New Roman"/>
      <w:kern w:val="2"/>
      <w:sz w:val="21"/>
      <w:szCs w:val="24"/>
    </w:rPr>
  </w:style>
  <w:style w:type="paragraph" w:customStyle="1" w:styleId="32">
    <w:name w:val="样式3"/>
    <w:basedOn w:val="ac"/>
    <w:qFormat/>
    <w:pPr>
      <w:spacing w:line="240" w:lineRule="atLeast"/>
      <w:outlineLvl w:val="0"/>
    </w:pPr>
    <w:rPr>
      <w:rFonts w:eastAsia="宋体" w:cs="宋体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A80636-89E9-441D-9144-6B65DC0863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1945</Words>
  <Characters>938</Characters>
  <Application>Microsoft Office Word</Application>
  <DocSecurity>0</DocSecurity>
  <Lines>7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111111</dc:creator>
  <cp:lastModifiedBy>111111</cp:lastModifiedBy>
  <cp:revision>3</cp:revision>
  <dcterms:created xsi:type="dcterms:W3CDTF">2025-11-27T03:30:00Z</dcterms:created>
  <dcterms:modified xsi:type="dcterms:W3CDTF">2025-11-27T05:38:00Z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eyJoZGlkIjoiNWEwOTVlMjFlNmY1M2VkODQ1NDBhZjAxZDQ4MWVhZTkiLCJ1c2VySWQiOiI0MDc4MjQxNTEifQ==</vt:lpwstr>
  </property>
  <property fmtid="{D5CDD505-2E9C-101B-9397-08002B2CF9AE}" pid="3" name="KSOProductBuildVer">
    <vt:lpwstr>2052-12.1.0.23542</vt:lpwstr>
  </property>
  <property fmtid="{D5CDD505-2E9C-101B-9397-08002B2CF9AE}" pid="4" name="ICV">
    <vt:lpwstr>2E2480A1A7264585B6C2E4F4320D68F9_13</vt:lpwstr>
  </property>
</Properties>
</file>