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4" w:name="_GoBack"/>
      <w:bookmarkEnd w:id="4"/>
      <w:bookmarkStart w:id="0" w:name="_Toc25994"/>
      <w:bookmarkEnd w:id="0"/>
      <w:bookmarkStart w:id="1" w:name="_Toc27204"/>
      <w:bookmarkEnd w:id="1"/>
      <w:bookmarkStart w:id="2" w:name="_Toc447024908"/>
      <w:bookmarkStart w:id="3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</w:p>
    <w:p>
      <w:pPr>
        <w:rPr>
          <w:rFonts w:hint="eastAsia"/>
          <w:sz w:val="20"/>
          <w:szCs w:val="21"/>
        </w:rPr>
      </w:pPr>
    </w:p>
    <w:sectPr>
      <w:headerReference r:id="rId3" w:type="default"/>
      <w:pgSz w:w="11906" w:h="16838"/>
      <w:pgMar w:top="1276" w:right="1700" w:bottom="1440" w:left="1560" w:header="709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jc w:val="both"/>
    </w:pPr>
    <w:r>
      <w:rPr>
        <w:rFonts w:hint="eastAsia"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14E74"/>
    <w:rsid w:val="002220B3"/>
    <w:rsid w:val="00223127"/>
    <w:rsid w:val="00236EF2"/>
    <w:rsid w:val="00243A32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E1A91"/>
    <w:rsid w:val="00FE31CB"/>
    <w:rsid w:val="0BD101E0"/>
    <w:rsid w:val="1B0423D2"/>
    <w:rsid w:val="1BEC4B1F"/>
    <w:rsid w:val="497414BC"/>
    <w:rsid w:val="573F310A"/>
    <w:rsid w:val="75F67196"/>
    <w:rsid w:val="796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9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HTML 预设格式 字符"/>
    <w:basedOn w:val="11"/>
    <w:link w:val="10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3">
    <w:name w:val="日期 字符"/>
    <w:basedOn w:val="11"/>
    <w:link w:val="6"/>
    <w:semiHidden/>
    <w:qFormat/>
    <w:uiPriority w:val="99"/>
  </w:style>
  <w:style w:type="character" w:customStyle="1" w:styleId="24">
    <w:name w:val="批注文字 字符"/>
    <w:basedOn w:val="11"/>
    <w:link w:val="4"/>
    <w:semiHidden/>
    <w:qFormat/>
    <w:uiPriority w:val="99"/>
  </w:style>
  <w:style w:type="character" w:customStyle="1" w:styleId="25">
    <w:name w:val="批注主题 字符"/>
    <w:basedOn w:val="24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736A9-98D8-4DAC-8922-1146FA13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403</Characters>
  <Lines>3</Lines>
  <Paragraphs>1</Paragraphs>
  <TotalTime>0</TotalTime>
  <ScaleCrop>false</ScaleCrop>
  <LinksUpToDate>false</LinksUpToDate>
  <CharactersWithSpaces>658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2025-08-21T03:51:00Z</dcterms:created>
  <dc:creator>houjy1</dc:creator>
  <cp:lastModifiedBy>招标中心-Zhouyz</cp:lastModifiedBy>
  <cp:lastPrinted>2025-06-10T03:21:00Z</cp:lastPrinted>
  <dcterms:modified xsi:type="dcterms:W3CDTF">2025-10-22T01:23:28Z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2052-10.8.2.7119</vt:lpwstr>
  </property>
  <property fmtid="{D5CDD505-2E9C-101B-9397-08002B2CF9AE}" pid="4" name="ICV">
    <vt:lpwstr>0F39C63CBF804834A6C0A4D3D7E7C1C1_13</vt:lpwstr>
  </property>
</Properties>
</file>