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sz w:val="30"/>
          <w:szCs w:val="30"/>
        </w:rPr>
      </w:pPr>
      <w:bookmarkStart w:id="0" w:name="_Toc21409"/>
      <w:bookmarkStart w:id="1" w:name="_Toc17193"/>
      <w:bookmarkStart w:id="2" w:name="_Toc26315"/>
      <w:bookmarkStart w:id="3" w:name="_Toc19915"/>
      <w:bookmarkStart w:id="4" w:name="_Toc14358"/>
      <w:bookmarkStart w:id="5" w:name="_Toc20631"/>
      <w:bookmarkStart w:id="6" w:name="_Toc97560485"/>
      <w:bookmarkStart w:id="7" w:name="_Toc5934"/>
      <w:r>
        <w:rPr>
          <w:rFonts w:hint="eastAsia"/>
          <w:sz w:val="30"/>
          <w:szCs w:val="30"/>
        </w:rPr>
        <w:t>关键扭矩追溯招标项目综合</w:t>
      </w:r>
      <w:bookmarkEnd w:id="0"/>
      <w:bookmarkEnd w:id="1"/>
      <w:bookmarkEnd w:id="2"/>
      <w:bookmarkEnd w:id="3"/>
      <w:bookmarkEnd w:id="4"/>
      <w:bookmarkEnd w:id="5"/>
      <w:bookmarkEnd w:id="6"/>
      <w:bookmarkEnd w:id="7"/>
      <w:r>
        <w:rPr>
          <w:rFonts w:hint="eastAsia"/>
          <w:sz w:val="30"/>
          <w:szCs w:val="30"/>
        </w:rPr>
        <w:t>评审法方案</w:t>
      </w:r>
    </w:p>
    <w:p>
      <w:pPr>
        <w:spacing w:before="156" w:beforeLines="50" w:after="156" w:afterLines="50" w:line="440" w:lineRule="exact"/>
        <w:rPr>
          <w:rFonts w:hint="eastAsia" w:ascii="宋体" w:hAnsi="宋体"/>
          <w:b/>
          <w:sz w:val="28"/>
          <w:szCs w:val="28"/>
        </w:rPr>
      </w:pPr>
      <w:r>
        <w:rPr>
          <w:rFonts w:ascii="宋体" w:hAnsi="宋体"/>
          <w:b/>
          <w:sz w:val="28"/>
          <w:szCs w:val="28"/>
          <w:lang w:val="zh-CN"/>
        </w:rPr>
        <w:t>一、评标方法：综合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r>
        <w:rPr>
          <w:rFonts w:ascii="宋体" w:hAnsi="宋体"/>
          <w:sz w:val="24"/>
          <w:lang w:val="zh-CN"/>
        </w:rPr>
        <w:t>对所有投标人的投标文件评审，都采用相同的程序和标准。</w:t>
      </w:r>
    </w:p>
    <w:p>
      <w:pPr>
        <w:spacing w:line="360" w:lineRule="auto"/>
        <w:rPr>
          <w:rFonts w:hint="eastAsia" w:ascii="宋体" w:hAnsi="宋体"/>
          <w:sz w:val="24"/>
        </w:rPr>
      </w:pPr>
      <w:r>
        <w:rPr>
          <w:rFonts w:hint="eastAsia" w:ascii="宋体" w:hAnsi="宋体"/>
          <w:sz w:val="24"/>
        </w:rPr>
        <w:t>采购评标小组成员：</w:t>
      </w:r>
    </w:p>
    <w:p>
      <w:pPr>
        <w:spacing w:line="360" w:lineRule="auto"/>
        <w:rPr>
          <w:rFonts w:hint="eastAsia" w:ascii="宋体" w:hAnsi="宋体"/>
          <w:sz w:val="24"/>
        </w:rPr>
      </w:pPr>
      <w:r>
        <w:rPr>
          <w:rFonts w:hint="eastAsia" w:ascii="宋体" w:hAnsi="宋体"/>
          <w:sz w:val="24"/>
        </w:rPr>
        <w:t>开标评审人员由系统随机在开标评审人才库随机抽选；</w:t>
      </w:r>
    </w:p>
    <w:p>
      <w:pPr>
        <w:spacing w:line="360" w:lineRule="auto"/>
        <w:rPr>
          <w:rFonts w:hint="eastAsia" w:ascii="宋体" w:hAnsi="宋体"/>
          <w:sz w:val="24"/>
        </w:rPr>
      </w:pPr>
      <w:r>
        <w:rPr>
          <w:rFonts w:hint="eastAsia" w:ascii="宋体" w:hAnsi="宋体"/>
          <w:sz w:val="24"/>
        </w:rPr>
        <w:t>针对技术复杂、专业性强或者存在特殊原因的由招标中心根据情况指定评标人员。</w:t>
      </w:r>
    </w:p>
    <w:p>
      <w:pPr>
        <w:spacing w:line="360" w:lineRule="auto"/>
        <w:rPr>
          <w:rFonts w:hint="eastAsia" w:ascii="宋体" w:hAnsi="宋体"/>
          <w:sz w:val="24"/>
          <w:lang w:val="zh-CN"/>
        </w:rPr>
      </w:pPr>
      <w:r>
        <w:rPr>
          <w:rFonts w:hint="eastAsia" w:ascii="宋体" w:hAnsi="宋体"/>
          <w:sz w:val="24"/>
        </w:rPr>
        <w:t>评标人员成员一般为5人及以上单数。</w:t>
      </w:r>
    </w:p>
    <w:p>
      <w:pPr>
        <w:numPr>
          <w:ilvl w:val="0"/>
          <w:numId w:val="1"/>
        </w:numPr>
        <w:spacing w:line="360" w:lineRule="auto"/>
        <w:rPr>
          <w:rFonts w:hint="eastAsia" w:ascii="宋体" w:hAnsi="宋体"/>
          <w:sz w:val="24"/>
          <w:lang w:val="zh-CN"/>
        </w:rPr>
      </w:pPr>
      <w:r>
        <w:rPr>
          <w:rFonts w:ascii="宋体" w:hAnsi="宋体"/>
          <w:sz w:val="24"/>
          <w:lang w:val="zh-CN"/>
        </w:rPr>
        <w:t>由</w:t>
      </w:r>
      <w:r>
        <w:rPr>
          <w:rFonts w:hint="eastAsia" w:ascii="宋体" w:hAnsi="宋体"/>
          <w:sz w:val="24"/>
        </w:rPr>
        <w:t>采购评标小组成员</w:t>
      </w:r>
      <w:r>
        <w:rPr>
          <w:rFonts w:ascii="宋体" w:hAnsi="宋体"/>
          <w:sz w:val="24"/>
          <w:lang w:val="zh-CN"/>
        </w:rPr>
        <w:t>根据</w:t>
      </w:r>
      <w:r>
        <w:rPr>
          <w:rFonts w:hint="eastAsia" w:ascii="宋体" w:hAnsi="宋体"/>
          <w:sz w:val="24"/>
          <w:lang w:val="zh-CN"/>
        </w:rPr>
        <w:t>招标文件</w:t>
      </w:r>
      <w:r>
        <w:rPr>
          <w:rFonts w:hint="eastAsia" w:ascii="宋体" w:hAnsi="宋体"/>
          <w:sz w:val="24"/>
        </w:rPr>
        <w:t>资格审核的</w:t>
      </w:r>
      <w:r>
        <w:rPr>
          <w:rFonts w:ascii="宋体" w:hAnsi="宋体"/>
          <w:sz w:val="24"/>
          <w:lang w:val="zh-CN"/>
        </w:rPr>
        <w:t>要求</w:t>
      </w:r>
      <w:r>
        <w:rPr>
          <w:rFonts w:hint="eastAsia" w:ascii="宋体" w:hAnsi="宋体"/>
          <w:sz w:val="24"/>
          <w:lang w:val="zh-CN"/>
        </w:rPr>
        <w:t>（</w:t>
      </w:r>
      <w:r>
        <w:rPr>
          <w:rFonts w:hint="eastAsia" w:ascii="宋体" w:hAnsi="宋体"/>
          <w:sz w:val="24"/>
        </w:rPr>
        <w:t>评审项目、内容、相关佐证材料</w:t>
      </w:r>
      <w:r>
        <w:rPr>
          <w:rFonts w:hint="eastAsia" w:ascii="宋体" w:hAnsi="宋体"/>
          <w:sz w:val="24"/>
          <w:lang w:val="zh-CN"/>
        </w:rPr>
        <w:t>）、</w:t>
      </w:r>
      <w:r>
        <w:rPr>
          <w:rFonts w:hint="eastAsia" w:ascii="宋体" w:hAnsi="宋体"/>
          <w:sz w:val="24"/>
        </w:rPr>
        <w:t>评分标准和计分方法</w:t>
      </w:r>
      <w:r>
        <w:rPr>
          <w:rFonts w:ascii="宋体" w:hAnsi="宋体"/>
          <w:sz w:val="24"/>
          <w:lang w:val="zh-CN"/>
        </w:rPr>
        <w:t>，审核</w:t>
      </w:r>
      <w:r>
        <w:rPr>
          <w:rFonts w:hint="eastAsia" w:ascii="宋体" w:hAnsi="宋体"/>
          <w:sz w:val="24"/>
        </w:rPr>
        <w:t>和评审</w:t>
      </w:r>
      <w:r>
        <w:rPr>
          <w:rFonts w:ascii="宋体" w:hAnsi="宋体"/>
          <w:sz w:val="24"/>
          <w:lang w:val="zh-CN"/>
        </w:rPr>
        <w:t>各投标文件</w:t>
      </w:r>
      <w:r>
        <w:rPr>
          <w:rFonts w:hint="eastAsia" w:ascii="宋体" w:hAnsi="宋体"/>
          <w:sz w:val="24"/>
        </w:rPr>
        <w:t>的资格审核部分</w:t>
      </w:r>
      <w:r>
        <w:rPr>
          <w:rFonts w:ascii="宋体" w:hAnsi="宋体"/>
          <w:sz w:val="24"/>
          <w:lang w:val="zh-CN"/>
        </w:rPr>
        <w:t>是否合格、有效</w:t>
      </w:r>
      <w:r>
        <w:rPr>
          <w:rFonts w:hint="eastAsia" w:ascii="宋体" w:hAnsi="宋体"/>
          <w:sz w:val="24"/>
        </w:rPr>
        <w:t>及评价审核得分</w:t>
      </w:r>
      <w:r>
        <w:rPr>
          <w:rFonts w:hint="eastAsia" w:ascii="宋体" w:hAnsi="宋体"/>
          <w:sz w:val="24"/>
          <w:lang w:val="zh-CN"/>
        </w:rPr>
        <w:t>（</w:t>
      </w:r>
      <w:r>
        <w:rPr>
          <w:rFonts w:ascii="宋体" w:hAnsi="宋体"/>
          <w:sz w:val="24"/>
          <w:lang w:val="zh-CN"/>
        </w:rPr>
        <w:t>凡不符合专业条件要求</w:t>
      </w:r>
      <w:r>
        <w:rPr>
          <w:rFonts w:hint="eastAsia" w:ascii="宋体" w:hAnsi="宋体"/>
          <w:sz w:val="24"/>
          <w:lang w:val="zh-CN"/>
        </w:rPr>
        <w:t>项</w:t>
      </w:r>
      <w:r>
        <w:rPr>
          <w:rFonts w:ascii="宋体" w:hAnsi="宋体"/>
          <w:sz w:val="24"/>
          <w:lang w:val="zh-CN"/>
        </w:rPr>
        <w:t>和未实质性响应</w:t>
      </w:r>
      <w:r>
        <w:rPr>
          <w:rFonts w:hint="eastAsia" w:ascii="宋体" w:hAnsi="宋体"/>
          <w:sz w:val="24"/>
        </w:rPr>
        <w:t>资格审核</w:t>
      </w:r>
      <w:r>
        <w:rPr>
          <w:rFonts w:hint="eastAsia" w:ascii="宋体" w:hAnsi="宋体"/>
          <w:sz w:val="24"/>
          <w:lang w:val="zh-CN"/>
        </w:rPr>
        <w:t>文件</w:t>
      </w:r>
      <w:r>
        <w:rPr>
          <w:rFonts w:ascii="宋体" w:hAnsi="宋体"/>
          <w:sz w:val="24"/>
          <w:lang w:val="zh-CN"/>
        </w:rPr>
        <w:t>要求的</w:t>
      </w:r>
      <w:r>
        <w:rPr>
          <w:rFonts w:hint="eastAsia" w:ascii="宋体" w:hAnsi="宋体"/>
          <w:sz w:val="24"/>
          <w:lang w:val="zh-CN"/>
        </w:rPr>
        <w:t>内容项</w:t>
      </w:r>
      <w:r>
        <w:rPr>
          <w:rFonts w:ascii="宋体" w:hAnsi="宋体"/>
          <w:sz w:val="24"/>
          <w:lang w:val="zh-CN"/>
        </w:rPr>
        <w:t>均不</w:t>
      </w:r>
      <w:r>
        <w:rPr>
          <w:rFonts w:hint="eastAsia" w:ascii="宋体" w:hAnsi="宋体"/>
          <w:sz w:val="24"/>
          <w:lang w:val="zh-CN"/>
        </w:rPr>
        <w:t>得分）</w:t>
      </w:r>
      <w:r>
        <w:rPr>
          <w:rFonts w:ascii="宋体" w:hAnsi="宋体"/>
          <w:sz w:val="24"/>
          <w:lang w:val="zh-CN"/>
        </w:rPr>
        <w:t>。</w:t>
      </w:r>
    </w:p>
    <w:p>
      <w:pPr>
        <w:numPr>
          <w:ilvl w:val="0"/>
          <w:numId w:val="1"/>
        </w:numPr>
        <w:spacing w:line="360" w:lineRule="auto"/>
        <w:rPr>
          <w:rFonts w:hint="eastAsia" w:ascii="宋体" w:hAnsi="宋体"/>
          <w:sz w:val="24"/>
          <w:lang w:val="zh-CN"/>
        </w:rPr>
      </w:pPr>
      <w:r>
        <w:rPr>
          <w:rFonts w:ascii="宋体" w:hAnsi="宋体"/>
          <w:sz w:val="24"/>
          <w:lang w:val="zh-CN"/>
        </w:rPr>
        <w:t>通过</w:t>
      </w:r>
      <w:r>
        <w:rPr>
          <w:rFonts w:hint="eastAsia" w:ascii="宋体" w:hAnsi="宋体"/>
          <w:sz w:val="24"/>
          <w:lang w:val="zh-CN"/>
        </w:rPr>
        <w:t>企业资格审核的应标方</w:t>
      </w:r>
      <w:r>
        <w:rPr>
          <w:rFonts w:ascii="宋体" w:hAnsi="宋体"/>
          <w:sz w:val="24"/>
          <w:lang w:val="zh-CN"/>
        </w:rPr>
        <w:t>，</w:t>
      </w:r>
      <w:r>
        <w:rPr>
          <w:rFonts w:hint="eastAsia" w:ascii="宋体" w:hAnsi="宋体"/>
          <w:sz w:val="24"/>
        </w:rPr>
        <w:t>按照供应商能力审核评审项目/评分标准的评分标准和计分方法，计算出符合资格审核得分。</w:t>
      </w:r>
    </w:p>
    <w:p>
      <w:pPr>
        <w:numPr>
          <w:ilvl w:val="0"/>
          <w:numId w:val="1"/>
        </w:numPr>
        <w:spacing w:line="360" w:lineRule="auto"/>
        <w:rPr>
          <w:rFonts w:hint="eastAsia" w:ascii="宋体" w:hAnsi="宋体"/>
          <w:sz w:val="24"/>
          <w:lang w:val="zh-CN"/>
        </w:rPr>
      </w:pPr>
      <w:r>
        <w:rPr>
          <w:rFonts w:hint="eastAsia" w:ascii="宋体" w:hAnsi="宋体"/>
          <w:sz w:val="24"/>
        </w:rPr>
        <w:t>根据商务评分标准和计分方法,对其投标报价进行商务评分和计分。</w:t>
      </w:r>
    </w:p>
    <w:p>
      <w:pPr>
        <w:numPr>
          <w:ilvl w:val="0"/>
          <w:numId w:val="1"/>
        </w:numPr>
        <w:spacing w:line="360" w:lineRule="auto"/>
        <w:rPr>
          <w:rFonts w:hint="eastAsia" w:ascii="宋体" w:hAnsi="宋体"/>
          <w:sz w:val="24"/>
          <w:lang w:val="zh-CN"/>
        </w:rPr>
      </w:pPr>
      <w:r>
        <w:rPr>
          <w:rFonts w:hint="eastAsia" w:ascii="宋体" w:hAnsi="宋体"/>
          <w:sz w:val="24"/>
        </w:rPr>
        <w:t>根据供应商能力审核的评分、商务评分的分配分值权重进行加权计算，计算出评审的最终综合评估分，并按照从高到低依次进行排名，得出评审结果。</w:t>
      </w:r>
    </w:p>
    <w:p>
      <w:pPr>
        <w:numPr>
          <w:ilvl w:val="0"/>
          <w:numId w:val="2"/>
        </w:numPr>
        <w:spacing w:line="440" w:lineRule="exact"/>
        <w:rPr>
          <w:rFonts w:hint="eastAsia" w:ascii="宋体" w:hAnsi="宋体"/>
          <w:b/>
          <w:color w:val="FF0000"/>
          <w:sz w:val="28"/>
          <w:szCs w:val="28"/>
          <w:lang w:val="zh-CN"/>
        </w:rPr>
      </w:pPr>
      <w:r>
        <w:rPr>
          <w:rFonts w:hint="eastAsia" w:ascii="宋体" w:hAnsi="宋体"/>
          <w:b/>
          <w:sz w:val="28"/>
          <w:szCs w:val="28"/>
          <w:lang w:val="zh-CN"/>
        </w:rPr>
        <w:t>评标标准</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rPr>
        <w:t>供应商能力审核因素分</w:t>
      </w:r>
      <w:r>
        <w:rPr>
          <w:rFonts w:hint="eastAsia" w:ascii="宋体" w:hAnsi="宋体" w:cs="宋体"/>
          <w:b/>
          <w:sz w:val="24"/>
          <w:szCs w:val="24"/>
          <w:lang w:val="zh-CN"/>
        </w:rPr>
        <w:t>F1（满分</w:t>
      </w:r>
      <w:r>
        <w:rPr>
          <w:rFonts w:hint="eastAsia" w:ascii="宋体" w:hAnsi="宋体" w:cs="宋体"/>
          <w:b/>
          <w:color w:val="FF0000"/>
          <w:sz w:val="24"/>
          <w:szCs w:val="24"/>
          <w:lang w:val="en-US" w:eastAsia="zh-CN"/>
        </w:rPr>
        <w:t>50</w:t>
      </w:r>
      <w:r>
        <w:rPr>
          <w:rFonts w:hint="eastAsia" w:ascii="宋体" w:hAnsi="宋体" w:cs="宋体"/>
          <w:b/>
          <w:sz w:val="24"/>
          <w:szCs w:val="24"/>
        </w:rPr>
        <w:t>分</w:t>
      </w:r>
      <w:r>
        <w:rPr>
          <w:rFonts w:hint="eastAsia" w:ascii="宋体" w:hAnsi="宋体" w:cs="宋体"/>
          <w:b/>
          <w:sz w:val="24"/>
          <w:szCs w:val="24"/>
          <w:lang w:val="zh-CN"/>
        </w:rPr>
        <w:t>）</w:t>
      </w:r>
    </w:p>
    <w:p>
      <w:pPr>
        <w:spacing w:after="156" w:afterLines="50" w:line="440" w:lineRule="exact"/>
        <w:ind w:firstLine="482" w:firstLineChars="200"/>
        <w:rPr>
          <w:rFonts w:hint="eastAsia" w:ascii="宋体" w:hAnsi="宋体" w:cs="宋体"/>
          <w:b/>
          <w:sz w:val="24"/>
          <w:szCs w:val="24"/>
          <w:lang w:val="zh-CN"/>
        </w:rPr>
      </w:pPr>
      <w:r>
        <w:rPr>
          <w:rFonts w:hint="eastAsia" w:ascii="宋体" w:hAnsi="宋体" w:cs="宋体"/>
          <w:b/>
          <w:sz w:val="24"/>
          <w:szCs w:val="24"/>
        </w:rPr>
        <w:t>供应商能力评审项目-技术T/商务B，按表一内容及评审分值进行评审，最终各分项按</w:t>
      </w:r>
      <w:r>
        <w:rPr>
          <w:rFonts w:hint="eastAsia" w:ascii="宋体" w:hAnsi="宋体" w:cs="宋体"/>
          <w:b/>
          <w:color w:val="0000FF"/>
          <w:sz w:val="24"/>
          <w:szCs w:val="24"/>
        </w:rPr>
        <w:t>各分项的评委平均评分分值汇总</w:t>
      </w:r>
      <w:r>
        <w:rPr>
          <w:rFonts w:hint="eastAsia" w:ascii="宋体" w:hAnsi="宋体" w:cs="宋体"/>
          <w:b/>
          <w:sz w:val="24"/>
          <w:szCs w:val="24"/>
        </w:rPr>
        <w:t>为供应商能力评审综合得分项</w:t>
      </w:r>
    </w:p>
    <w:p>
      <w:pPr>
        <w:spacing w:after="156" w:afterLines="50" w:line="440" w:lineRule="exact"/>
        <w:rPr>
          <w:rFonts w:hint="eastAsia" w:ascii="宋体" w:hAnsi="宋体" w:cs="宋体"/>
          <w:b/>
          <w:sz w:val="24"/>
          <w:szCs w:val="24"/>
        </w:rPr>
      </w:pPr>
      <w:r>
        <w:rPr>
          <w:rFonts w:hint="eastAsia" w:ascii="宋体" w:hAnsi="宋体" w:cs="宋体"/>
          <w:b/>
          <w:sz w:val="24"/>
          <w:szCs w:val="24"/>
        </w:rPr>
        <w:t>见表一：</w:t>
      </w:r>
      <w:r>
        <w:rPr>
          <w:rFonts w:hint="eastAsia" w:ascii="宋体" w:hAnsi="宋体"/>
          <w:b/>
          <w:sz w:val="24"/>
        </w:rPr>
        <w:t>供应商能力评审</w:t>
      </w:r>
      <w:r>
        <w:rPr>
          <w:rFonts w:hint="eastAsia" w:ascii="宋体" w:hAnsi="宋体" w:cs="宋体"/>
          <w:b/>
          <w:sz w:val="24"/>
          <w:szCs w:val="24"/>
        </w:rPr>
        <w:t>项目/评分标准</w:t>
      </w:r>
    </w:p>
    <w:p>
      <w:pPr>
        <w:spacing w:after="156" w:afterLines="50" w:line="440" w:lineRule="exact"/>
        <w:ind w:firstLine="482" w:firstLineChars="200"/>
        <w:rPr>
          <w:rFonts w:hint="eastAsia" w:ascii="宋体" w:hAnsi="宋体" w:cs="宋体"/>
          <w:b/>
          <w:color w:val="FF0000"/>
          <w:sz w:val="24"/>
          <w:szCs w:val="24"/>
        </w:rPr>
      </w:pPr>
      <w:r>
        <w:rPr>
          <w:rFonts w:hint="eastAsia" w:ascii="宋体" w:hAnsi="宋体" w:cs="宋体"/>
          <w:b/>
          <w:sz w:val="24"/>
          <w:szCs w:val="24"/>
        </w:rPr>
        <w:t>F1=T+B</w:t>
      </w:r>
      <w:r>
        <w:rPr>
          <w:rFonts w:hint="eastAsia" w:ascii="宋体" w:hAnsi="宋体" w:cs="宋体"/>
          <w:b/>
          <w:color w:val="FF0000"/>
          <w:sz w:val="24"/>
          <w:szCs w:val="24"/>
        </w:rPr>
        <w:t xml:space="preserve"> </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0"/>
        </w:rPr>
        <w:t>商务价格</w:t>
      </w:r>
      <w:r>
        <w:rPr>
          <w:rFonts w:hint="eastAsia" w:ascii="宋体" w:hAnsi="宋体" w:cs="宋体"/>
          <w:b/>
          <w:sz w:val="24"/>
          <w:szCs w:val="20"/>
          <w:lang w:val="zh-CN"/>
        </w:rPr>
        <w:t>因素分F</w:t>
      </w:r>
      <w:r>
        <w:rPr>
          <w:rFonts w:hint="eastAsia" w:ascii="宋体" w:hAnsi="宋体" w:cs="宋体"/>
          <w:b/>
          <w:sz w:val="24"/>
          <w:szCs w:val="20"/>
        </w:rPr>
        <w:t>2</w:t>
      </w:r>
      <w:r>
        <w:rPr>
          <w:rFonts w:hint="eastAsia" w:ascii="宋体" w:hAnsi="宋体" w:cs="宋体"/>
          <w:b/>
          <w:sz w:val="24"/>
          <w:szCs w:val="20"/>
          <w:lang w:val="zh-CN"/>
        </w:rPr>
        <w:t>（满分</w:t>
      </w:r>
      <w:r>
        <w:rPr>
          <w:rFonts w:hint="eastAsia" w:ascii="宋体" w:hAnsi="宋体" w:cs="宋体"/>
          <w:b/>
          <w:color w:val="FF0000"/>
          <w:sz w:val="24"/>
          <w:szCs w:val="20"/>
          <w:lang w:val="en-US" w:eastAsia="zh-CN"/>
        </w:rPr>
        <w:t>50</w:t>
      </w:r>
      <w:r>
        <w:rPr>
          <w:rFonts w:hint="eastAsia" w:ascii="宋体" w:hAnsi="宋体" w:cs="宋体"/>
          <w:b/>
          <w:sz w:val="24"/>
          <w:szCs w:val="20"/>
        </w:rPr>
        <w:t>分）</w:t>
      </w:r>
      <w:bookmarkStart w:id="8" w:name="_GoBack"/>
      <w:bookmarkEnd w:id="8"/>
    </w:p>
    <w:p>
      <w:pPr>
        <w:spacing w:after="156" w:afterLines="50" w:line="440" w:lineRule="exact"/>
        <w:rPr>
          <w:rFonts w:hint="eastAsia" w:ascii="宋体" w:hAnsi="宋体" w:cs="宋体"/>
          <w:b/>
          <w:sz w:val="24"/>
          <w:szCs w:val="24"/>
        </w:rPr>
      </w:pPr>
      <w:r>
        <w:rPr>
          <w:rFonts w:hint="eastAsia" w:ascii="宋体" w:hAnsi="宋体" w:cs="宋体"/>
          <w:b/>
          <w:sz w:val="24"/>
          <w:szCs w:val="24"/>
        </w:rPr>
        <w:t>见表二：供应商商务价格评审项目/评分标准</w:t>
      </w:r>
    </w:p>
    <w:p>
      <w:pPr>
        <w:spacing w:after="156" w:afterLines="50" w:line="440" w:lineRule="exact"/>
        <w:rPr>
          <w:rFonts w:hint="eastAsia" w:ascii="宋体" w:hAnsi="宋体" w:cs="宋体"/>
          <w:b/>
          <w:color w:val="FF0000"/>
          <w:sz w:val="24"/>
          <w:szCs w:val="24"/>
        </w:rPr>
      </w:pPr>
      <w:r>
        <w:rPr>
          <w:rFonts w:hint="eastAsia" w:ascii="宋体" w:hAnsi="宋体" w:cs="宋体"/>
          <w:b/>
          <w:color w:val="FF0000"/>
          <w:sz w:val="24"/>
          <w:szCs w:val="24"/>
        </w:rPr>
        <w:t>比值法</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lang w:val="zh-CN"/>
        </w:rPr>
        <w:t>评标</w:t>
      </w:r>
      <w:r>
        <w:rPr>
          <w:rFonts w:hint="eastAsia" w:ascii="宋体" w:hAnsi="宋体" w:cs="宋体"/>
          <w:b/>
          <w:sz w:val="24"/>
        </w:rPr>
        <w:t>综合</w:t>
      </w:r>
      <w:r>
        <w:rPr>
          <w:rFonts w:hint="eastAsia" w:ascii="宋体" w:hAnsi="宋体" w:cs="宋体"/>
          <w:b/>
          <w:sz w:val="24"/>
          <w:lang w:val="zh-CN"/>
        </w:rPr>
        <w:t>得分汇总</w:t>
      </w:r>
    </w:p>
    <w:p>
      <w:pPr>
        <w:tabs>
          <w:tab w:val="left" w:pos="0"/>
        </w:tabs>
        <w:spacing w:line="500" w:lineRule="exact"/>
        <w:ind w:firstLine="460" w:firstLineChars="192"/>
        <w:rPr>
          <w:rFonts w:hint="eastAsia" w:ascii="宋体" w:hAnsi="宋体" w:cs="宋体"/>
          <w:b/>
          <w:sz w:val="24"/>
          <w:szCs w:val="20"/>
        </w:rPr>
      </w:pPr>
      <w:r>
        <w:rPr>
          <w:rFonts w:hint="eastAsia" w:ascii="宋体" w:hAnsi="宋体"/>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hint="eastAsia" w:ascii="宋体" w:hAnsi="宋体"/>
          <w:b/>
          <w:sz w:val="24"/>
        </w:rPr>
        <w:t>综合得分＝</w:t>
      </w:r>
      <w:r>
        <w:rPr>
          <w:rFonts w:hint="eastAsia" w:ascii="宋体" w:hAnsi="宋体"/>
          <w:b/>
          <w:color w:val="FF0000"/>
          <w:sz w:val="24"/>
        </w:rPr>
        <w:t>F1+ F2</w:t>
      </w:r>
    </w:p>
    <w:p>
      <w:pPr>
        <w:numPr>
          <w:ilvl w:val="0"/>
          <w:numId w:val="3"/>
        </w:numPr>
        <w:spacing w:after="156" w:afterLines="50" w:line="440" w:lineRule="exact"/>
        <w:rPr>
          <w:rFonts w:hint="eastAsia" w:ascii="宋体" w:hAnsi="宋体" w:cs="宋体"/>
          <w:b/>
          <w:sz w:val="24"/>
          <w:szCs w:val="24"/>
          <w:lang w:val="zh-CN"/>
        </w:rPr>
      </w:pPr>
      <w:r>
        <w:rPr>
          <w:rFonts w:ascii="宋体" w:hAnsi="宋体" w:cs="宋体"/>
          <w:b/>
          <w:sz w:val="24"/>
          <w:lang w:val="zh-CN"/>
        </w:rPr>
        <w:t>推荐</w:t>
      </w:r>
      <w:r>
        <w:rPr>
          <w:rFonts w:hint="eastAsia" w:ascii="宋体" w:hAnsi="宋体" w:cs="宋体"/>
          <w:b/>
          <w:sz w:val="24"/>
          <w:lang w:val="zh-CN"/>
        </w:rPr>
        <w:t>中标候选人</w:t>
      </w:r>
      <w:r>
        <w:rPr>
          <w:rFonts w:ascii="宋体" w:hAnsi="宋体" w:cs="宋体"/>
          <w:b/>
          <w:sz w:val="24"/>
          <w:lang w:val="zh-CN"/>
        </w:rPr>
        <w:t>名单</w:t>
      </w:r>
    </w:p>
    <w:p>
      <w:pPr>
        <w:spacing w:before="156" w:beforeLines="50" w:line="360" w:lineRule="auto"/>
        <w:ind w:firstLine="475" w:firstLineChars="198"/>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1-3 </w:t>
      </w:r>
      <w:r>
        <w:rPr>
          <w:rFonts w:ascii="宋体" w:hAnsi="宋体" w:cs="宋体"/>
          <w:sz w:val="24"/>
        </w:rPr>
        <w:t>个。</w:t>
      </w:r>
    </w:p>
    <w:p>
      <w:pPr>
        <w:spacing w:line="360" w:lineRule="auto"/>
        <w:ind w:firstLine="504" w:firstLineChars="21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、澄清有关问题、比较与评价评标程序后，按以下办法推荐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w:t>
      </w:r>
      <w:r>
        <w:rPr>
          <w:rFonts w:hint="eastAsia" w:ascii="宋体" w:hAnsi="宋体" w:cs="宋体"/>
          <w:bCs/>
          <w:color w:val="FF0000"/>
          <w:sz w:val="24"/>
        </w:rPr>
        <w:t>综合</w:t>
      </w:r>
      <w:r>
        <w:rPr>
          <w:rFonts w:ascii="宋体" w:hAnsi="宋体" w:cs="宋体"/>
          <w:bCs/>
          <w:color w:val="FF0000"/>
          <w:sz w:val="24"/>
        </w:rPr>
        <w:t>得分相同的，按</w:t>
      </w:r>
      <w:r>
        <w:rPr>
          <w:rFonts w:hint="eastAsia" w:ascii="宋体" w:hAnsi="宋体" w:cs="宋体"/>
          <w:bCs/>
          <w:color w:val="FF0000"/>
          <w:sz w:val="24"/>
          <w:szCs w:val="24"/>
        </w:rPr>
        <w:t>投商务价格得分F2</w:t>
      </w:r>
      <w:r>
        <w:rPr>
          <w:rFonts w:ascii="宋体" w:hAnsi="宋体" w:cs="宋体"/>
          <w:bCs/>
          <w:color w:val="FF0000"/>
          <w:sz w:val="24"/>
        </w:rPr>
        <w:t>得分由高到低顺序排列</w:t>
      </w:r>
      <w:r>
        <w:rPr>
          <w:rFonts w:hint="eastAsia" w:ascii="宋体" w:hAnsi="宋体" w:cs="宋体"/>
          <w:bCs/>
          <w:color w:val="FF0000"/>
          <w:sz w:val="24"/>
        </w:rPr>
        <w:t>；若全部相同的，按投标方公司注册资本</w:t>
      </w:r>
      <w:r>
        <w:rPr>
          <w:rFonts w:ascii="宋体" w:hAnsi="宋体" w:cs="宋体"/>
          <w:bCs/>
          <w:color w:val="FF0000"/>
          <w:sz w:val="24"/>
        </w:rPr>
        <w:t>由高到低顺序排列</w:t>
      </w:r>
      <w:r>
        <w:rPr>
          <w:rFonts w:hint="eastAsia" w:ascii="宋体" w:hAnsi="宋体" w:cs="宋体"/>
          <w:bCs/>
          <w:color w:val="FF0000"/>
          <w:sz w:val="24"/>
        </w:rPr>
        <w:t>。</w:t>
      </w:r>
    </w:p>
    <w:p>
      <w:pPr>
        <w:spacing w:before="156" w:beforeLines="50" w:line="360" w:lineRule="auto"/>
        <w:rPr>
          <w:rFonts w:hint="eastAsia" w:ascii="宋体" w:hAnsi="宋体"/>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Pr>
          <w:rFonts w:ascii="宋体" w:hAnsi="宋体"/>
          <w:b/>
          <w:sz w:val="28"/>
          <w:szCs w:val="28"/>
          <w:u w:val="single"/>
        </w:rPr>
        <w:t>1</w:t>
      </w:r>
      <w:r>
        <w:rPr>
          <w:rFonts w:ascii="宋体" w:hAnsi="宋体"/>
          <w:b/>
          <w:sz w:val="28"/>
          <w:szCs w:val="28"/>
          <w:lang w:val="zh-CN"/>
        </w:rPr>
        <w:t>个</w:t>
      </w:r>
      <w:r>
        <w:rPr>
          <w:rFonts w:hint="eastAsia" w:ascii="宋体" w:hAnsi="宋体"/>
          <w:b/>
          <w:sz w:val="28"/>
          <w:szCs w:val="28"/>
          <w:lang w:val="zh-CN"/>
        </w:rPr>
        <w:t>，分别为第一中标人</w:t>
      </w:r>
      <w:r>
        <w:rPr>
          <w:rFonts w:ascii="宋体" w:hAnsi="宋体"/>
          <w:b/>
          <w:sz w:val="28"/>
          <w:szCs w:val="28"/>
          <w:lang w:val="zh-CN"/>
        </w:rPr>
        <w:t>。</w:t>
      </w:r>
    </w:p>
    <w:p>
      <w:pPr>
        <w:spacing w:line="360" w:lineRule="auto"/>
        <w:ind w:firstLine="482" w:firstLineChars="200"/>
        <w:rPr>
          <w:b/>
          <w:bCs/>
          <w:sz w:val="24"/>
          <w:szCs w:val="24"/>
        </w:rPr>
      </w:pPr>
      <w:r>
        <w:rPr>
          <w:rFonts w:hint="eastAsia"/>
          <w:b/>
          <w:bCs/>
          <w:sz w:val="24"/>
          <w:szCs w:val="24"/>
        </w:rPr>
        <w:t>招标方根据评标报告向需求公司提报评标结果以及应用方案，经需求公司审批后确定中标人。定标的最终解释权和自主权为招标方需求公司。</w:t>
      </w:r>
    </w:p>
    <w:p>
      <w:pPr>
        <w:spacing w:line="360" w:lineRule="auto"/>
        <w:ind w:firstLine="482" w:firstLineChars="200"/>
        <w:rPr>
          <w:b/>
          <w:bCs/>
          <w:sz w:val="24"/>
          <w:szCs w:val="24"/>
        </w:rPr>
      </w:pPr>
      <w:r>
        <w:rPr>
          <w:rFonts w:hint="eastAsia"/>
          <w:b/>
          <w:bCs/>
          <w:sz w:val="24"/>
          <w:szCs w:val="24"/>
        </w:rPr>
        <w:t>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pPr>
        <w:spacing w:line="360" w:lineRule="auto"/>
        <w:ind w:firstLine="482" w:firstLineChars="200"/>
        <w:rPr>
          <w:b/>
          <w:bCs/>
          <w:sz w:val="24"/>
          <w:szCs w:val="24"/>
        </w:rPr>
      </w:pPr>
      <w:r>
        <w:rPr>
          <w:rFonts w:hint="eastAsia" w:hAnsi="宋体"/>
          <w:b/>
          <w:bCs/>
          <w:sz w:val="24"/>
          <w:szCs w:val="24"/>
        </w:rPr>
        <w:t>在中标人无法通过现场审核或正常签订及履行合同的情况下，采购人有权依照中标候选人名单排序顺延其他中标候选人为中标人或者重新组织招标</w:t>
      </w:r>
      <w:r>
        <w:rPr>
          <w:rFonts w:hint="eastAsia" w:ascii="宋体" w:hAnsi="宋体" w:cs="宋体"/>
          <w:b/>
          <w:bCs/>
          <w:sz w:val="24"/>
          <w:szCs w:val="24"/>
        </w:rPr>
        <w:t>。</w:t>
      </w:r>
      <w:r>
        <w:rPr>
          <w:b/>
          <w:bCs/>
          <w:sz w:val="24"/>
          <w:szCs w:val="24"/>
        </w:rPr>
        <w:t>投标人参与本项目的投标，即视为同意上述</w:t>
      </w:r>
      <w:r>
        <w:rPr>
          <w:rFonts w:hint="eastAsia"/>
          <w:b/>
          <w:bCs/>
          <w:sz w:val="24"/>
          <w:szCs w:val="24"/>
        </w:rPr>
        <w:t>定标方式。</w:t>
      </w:r>
    </w:p>
    <w:p>
      <w:pPr>
        <w:spacing w:line="360" w:lineRule="auto"/>
        <w:rPr>
          <w:rFonts w:hint="eastAsia" w:ascii="宋体" w:hAnsi="宋体"/>
          <w:b/>
          <w:bCs/>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等线" w:hAnsi="等线" w:eastAsia="等线"/>
          <w:b/>
          <w:bCs/>
        </w:rPr>
      </w:pPr>
      <w:r>
        <w:rPr>
          <w:rFonts w:hint="eastAsia"/>
        </w:rPr>
        <w:t>表一：</w:t>
      </w:r>
      <w:r>
        <w:rPr>
          <w:rFonts w:hint="eastAsia" w:ascii="等线" w:hAnsi="等线" w:eastAsia="等线"/>
          <w:b/>
          <w:bCs/>
        </w:rPr>
        <w:t>供应商能力审核评审项目/评分标准</w:t>
      </w:r>
    </w:p>
    <w:tbl>
      <w:tblPr>
        <w:tblStyle w:val="11"/>
        <w:tblW w:w="15750" w:type="dxa"/>
        <w:tblInd w:w="0" w:type="dxa"/>
        <w:shd w:val="clear" w:color="auto" w:fill="auto"/>
        <w:tblLayout w:type="fixed"/>
        <w:tblCellMar>
          <w:top w:w="0" w:type="dxa"/>
          <w:left w:w="0" w:type="dxa"/>
          <w:bottom w:w="0" w:type="dxa"/>
          <w:right w:w="0" w:type="dxa"/>
        </w:tblCellMar>
      </w:tblPr>
      <w:tblGrid>
        <w:gridCol w:w="570"/>
        <w:gridCol w:w="1470"/>
        <w:gridCol w:w="2730"/>
        <w:gridCol w:w="3720"/>
        <w:gridCol w:w="7260"/>
      </w:tblGrid>
      <w:tr>
        <w:tblPrEx>
          <w:tblLayout w:type="fixed"/>
          <w:tblCellMar>
            <w:top w:w="0" w:type="dxa"/>
            <w:left w:w="0" w:type="dxa"/>
            <w:bottom w:w="0" w:type="dxa"/>
            <w:right w:w="0" w:type="dxa"/>
          </w:tblCellMar>
        </w:tblPrEx>
        <w:trPr>
          <w:trHeight w:val="375" w:hRule="atLeast"/>
        </w:trPr>
        <w:tc>
          <w:tcPr>
            <w:tcW w:w="57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序号</w:t>
            </w:r>
          </w:p>
        </w:tc>
        <w:tc>
          <w:tcPr>
            <w:tcW w:w="147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评审方向</w:t>
            </w:r>
          </w:p>
        </w:tc>
        <w:tc>
          <w:tcPr>
            <w:tcW w:w="27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供应商能力评审</w:t>
            </w:r>
          </w:p>
        </w:tc>
        <w:tc>
          <w:tcPr>
            <w:tcW w:w="372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评审标准</w:t>
            </w:r>
          </w:p>
        </w:tc>
        <w:tc>
          <w:tcPr>
            <w:tcW w:w="726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提交相关评审材料</w:t>
            </w:r>
          </w:p>
        </w:tc>
      </w:tr>
      <w:tr>
        <w:tblPrEx>
          <w:shd w:val="clear" w:color="auto" w:fill="auto"/>
          <w:tblLayout w:type="fixed"/>
          <w:tblCellMar>
            <w:top w:w="0" w:type="dxa"/>
            <w:left w:w="0" w:type="dxa"/>
            <w:bottom w:w="0" w:type="dxa"/>
            <w:right w:w="0" w:type="dxa"/>
          </w:tblCellMar>
        </w:tblPrEx>
        <w:trPr>
          <w:trHeight w:val="2040" w:hRule="atLeast"/>
        </w:trPr>
        <w:tc>
          <w:tcPr>
            <w:tcW w:w="570"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1</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技术T</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技术符合性及技术方案</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满足技术协议中“五、设备通用功能要求”所有要求的</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lang w:val="en-US" w:eastAsia="zh-CN"/>
              </w:rPr>
            </w:pPr>
            <w:r>
              <w:rPr>
                <w:rFonts w:hint="eastAsia" w:ascii="等线" w:hAnsi="等线" w:eastAsia="等线"/>
                <w:b/>
                <w:bCs/>
                <w:lang w:val="en-US" w:eastAsia="zh-CN"/>
              </w:rPr>
              <w:t>1、对金龙技术协议、技术要求、国家&amp;行业标准的响应情况-提供《关键扭矩追溯项目技术要求偏移表》响应文件并盖章</w:t>
            </w:r>
          </w:p>
          <w:p>
            <w:pPr>
              <w:rPr>
                <w:rFonts w:hint="eastAsia" w:ascii="等线" w:hAnsi="等线" w:eastAsia="等线"/>
                <w:b/>
                <w:bCs/>
              </w:rPr>
            </w:pPr>
            <w:r>
              <w:rPr>
                <w:rFonts w:hint="eastAsia" w:ascii="等线" w:hAnsi="等线" w:eastAsia="等线"/>
                <w:b/>
                <w:bCs/>
                <w:lang w:val="en-US" w:eastAsia="zh-CN"/>
              </w:rPr>
              <w:t>2、带●的技术指标低于招标需求的，该技术分项T不得分。</w:t>
            </w:r>
          </w:p>
        </w:tc>
      </w:tr>
      <w:tr>
        <w:tblPrEx>
          <w:tblLayout w:type="fixed"/>
          <w:tblCellMar>
            <w:top w:w="0" w:type="dxa"/>
            <w:left w:w="0" w:type="dxa"/>
            <w:bottom w:w="0" w:type="dxa"/>
            <w:right w:w="0" w:type="dxa"/>
          </w:tblCellMar>
        </w:tblPrEx>
        <w:trPr>
          <w:trHeight w:val="540" w:hRule="atLeast"/>
        </w:trPr>
        <w:tc>
          <w:tcPr>
            <w:tcW w:w="57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产品质量认证</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产品通过UL、3C、CE等质量认证</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提供产品对应的认证资料（在有效期内）</w:t>
            </w:r>
          </w:p>
        </w:tc>
      </w:tr>
      <w:tr>
        <w:tblPrEx>
          <w:shd w:val="clear" w:color="auto" w:fill="auto"/>
          <w:tblLayout w:type="fixed"/>
          <w:tblCellMar>
            <w:top w:w="0" w:type="dxa"/>
            <w:left w:w="0" w:type="dxa"/>
            <w:bottom w:w="0" w:type="dxa"/>
            <w:right w:w="0" w:type="dxa"/>
          </w:tblCellMar>
        </w:tblPrEx>
        <w:trPr>
          <w:trHeight w:val="720" w:hRule="atLeast"/>
        </w:trPr>
        <w:tc>
          <w:tcPr>
            <w:tcW w:w="57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产品生产质量认证体系</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IS09001质量管理体系</w:t>
            </w:r>
            <w:r>
              <w:rPr>
                <w:rFonts w:hint="eastAsia" w:ascii="等线" w:hAnsi="等线" w:eastAsia="等线"/>
                <w:b/>
                <w:bCs/>
                <w:lang w:val="en-US" w:eastAsia="zh-CN"/>
              </w:rPr>
              <w:br w:type="textWrapping"/>
            </w:r>
            <w:r>
              <w:rPr>
                <w:rFonts w:hint="eastAsia" w:ascii="等线" w:hAnsi="等线" w:eastAsia="等线"/>
                <w:b/>
                <w:bCs/>
                <w:lang w:val="en-US" w:eastAsia="zh-CN"/>
              </w:rPr>
              <w:t>IS014001环境管理体系</w:t>
            </w:r>
            <w:r>
              <w:rPr>
                <w:rFonts w:hint="eastAsia" w:ascii="等线" w:hAnsi="等线" w:eastAsia="等线"/>
                <w:b/>
                <w:bCs/>
                <w:lang w:val="en-US" w:eastAsia="zh-CN"/>
              </w:rPr>
              <w:br w:type="textWrapping"/>
            </w:r>
            <w:r>
              <w:rPr>
                <w:rFonts w:hint="eastAsia" w:ascii="等线" w:hAnsi="等线" w:eastAsia="等线"/>
                <w:b/>
                <w:bCs/>
                <w:lang w:val="en-US" w:eastAsia="zh-CN"/>
              </w:rPr>
              <w:t>IATF16949汽车质量管理体系</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提供生产厂商对应的质量体系认证证书（在有效期内）</w:t>
            </w:r>
          </w:p>
        </w:tc>
      </w:tr>
      <w:tr>
        <w:tblPrEx>
          <w:shd w:val="clear" w:color="auto" w:fill="auto"/>
          <w:tblLayout w:type="fixed"/>
          <w:tblCellMar>
            <w:top w:w="0" w:type="dxa"/>
            <w:left w:w="0" w:type="dxa"/>
            <w:bottom w:w="0" w:type="dxa"/>
            <w:right w:w="0" w:type="dxa"/>
          </w:tblCellMar>
        </w:tblPrEx>
        <w:trPr>
          <w:trHeight w:val="640" w:hRule="atLeast"/>
        </w:trPr>
        <w:tc>
          <w:tcPr>
            <w:tcW w:w="57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安装及交付</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技术协议中“七、设备到货、安装、调试、培训及验收”的要求满足情况</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lang w:val="en-US" w:eastAsia="zh-CN"/>
              </w:rPr>
            </w:pPr>
            <w:r>
              <w:rPr>
                <w:rFonts w:hint="eastAsia" w:ascii="等线" w:hAnsi="等线" w:eastAsia="等线"/>
                <w:b/>
                <w:bCs/>
                <w:lang w:val="en-US" w:eastAsia="zh-CN"/>
              </w:rPr>
              <w:t>1、对金龙技术协议、技术要求、国家&amp;行业标准的响应情况-提供《关键扭矩追溯项目技术要求偏移表》响应文件并盖章</w:t>
            </w:r>
          </w:p>
          <w:p>
            <w:pPr>
              <w:rPr>
                <w:rFonts w:hint="eastAsia" w:ascii="等线" w:hAnsi="等线" w:eastAsia="等线"/>
                <w:b/>
                <w:bCs/>
              </w:rPr>
            </w:pPr>
            <w:r>
              <w:rPr>
                <w:rFonts w:hint="eastAsia" w:ascii="等线" w:hAnsi="等线" w:eastAsia="等线"/>
                <w:b/>
                <w:bCs/>
                <w:lang w:val="en-US" w:eastAsia="zh-CN"/>
              </w:rPr>
              <w:t>2、带●的技术指标低于招标需求的，该技术分项T不得分。</w:t>
            </w:r>
          </w:p>
        </w:tc>
      </w:tr>
      <w:tr>
        <w:tblPrEx>
          <w:shd w:val="clear" w:color="auto" w:fill="auto"/>
          <w:tblLayout w:type="fixed"/>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售后服务</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技术协议中“八、售后服务与技术资料”的要求满足情况</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lang w:val="en-US" w:eastAsia="zh-CN"/>
              </w:rPr>
            </w:pPr>
            <w:r>
              <w:rPr>
                <w:rFonts w:hint="eastAsia" w:ascii="等线" w:hAnsi="等线" w:eastAsia="等线"/>
                <w:b/>
                <w:bCs/>
                <w:lang w:val="en-US" w:eastAsia="zh-CN"/>
              </w:rPr>
              <w:t>1、对金龙技术协议、技术要求、国家&amp;行业标准的响应情况-提供《关键扭矩追溯项目技术要求偏移表》响应文件并盖章</w:t>
            </w:r>
          </w:p>
          <w:p>
            <w:pPr>
              <w:rPr>
                <w:rFonts w:hint="eastAsia" w:ascii="等线" w:hAnsi="等线" w:eastAsia="等线"/>
                <w:b/>
                <w:bCs/>
              </w:rPr>
            </w:pPr>
            <w:r>
              <w:rPr>
                <w:rFonts w:hint="eastAsia" w:ascii="等线" w:hAnsi="等线" w:eastAsia="等线"/>
                <w:b/>
                <w:bCs/>
                <w:lang w:val="en-US" w:eastAsia="zh-CN"/>
              </w:rPr>
              <w:t>2、带●的技术指标低于招标需求的，该技术分项T不得分。</w:t>
            </w:r>
          </w:p>
        </w:tc>
      </w:tr>
      <w:tr>
        <w:tblPrEx>
          <w:tblLayout w:type="fixed"/>
          <w:tblCellMar>
            <w:top w:w="0" w:type="dxa"/>
            <w:left w:w="0" w:type="dxa"/>
            <w:bottom w:w="0" w:type="dxa"/>
            <w:right w:w="0" w:type="dxa"/>
          </w:tblCellMar>
        </w:tblPrEx>
        <w:trPr>
          <w:trHeight w:val="600" w:hRule="atLeast"/>
        </w:trPr>
        <w:tc>
          <w:tcPr>
            <w:tcW w:w="57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配件供应生命周期</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承诺产品配件供应生命周期10年以上</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提供配件供应生命周期承诺函</w:t>
            </w:r>
          </w:p>
        </w:tc>
      </w:tr>
      <w:tr>
        <w:tblPrEx>
          <w:shd w:val="clear" w:color="auto" w:fill="auto"/>
          <w:tblLayout w:type="fixed"/>
          <w:tblCellMar>
            <w:top w:w="0" w:type="dxa"/>
            <w:left w:w="0" w:type="dxa"/>
            <w:bottom w:w="0" w:type="dxa"/>
            <w:right w:w="0" w:type="dxa"/>
          </w:tblCellMar>
        </w:tblPrEx>
        <w:trPr>
          <w:trHeight w:val="480" w:hRule="atLeast"/>
        </w:trPr>
        <w:tc>
          <w:tcPr>
            <w:tcW w:w="57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产品质保承诺</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承诺产品的质保期(2年、3年、4年、5年以上）</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根据各投标人的质保服务承诺进行评价（标书附件-合同上明确）</w:t>
            </w:r>
          </w:p>
        </w:tc>
      </w:tr>
      <w:tr>
        <w:tblPrEx>
          <w:shd w:val="clear" w:color="auto" w:fill="auto"/>
          <w:tblLayout w:type="fixed"/>
          <w:tblCellMar>
            <w:top w:w="0" w:type="dxa"/>
            <w:left w:w="0" w:type="dxa"/>
            <w:bottom w:w="0" w:type="dxa"/>
            <w:right w:w="0" w:type="dxa"/>
          </w:tblCellMar>
        </w:tblPrEx>
        <w:trPr>
          <w:trHeight w:val="960" w:hRule="atLeast"/>
        </w:trPr>
        <w:tc>
          <w:tcPr>
            <w:tcW w:w="570" w:type="dxa"/>
            <w:vMerge w:val="restar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2</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商务B</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品牌影响力</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1、产品为进口一线品牌（阿特拉斯，英格索兰，马头，博世力乐士、吉多瑞、艾沛克斯等）；</w:t>
            </w:r>
            <w:r>
              <w:rPr>
                <w:rFonts w:hint="eastAsia" w:ascii="等线" w:hAnsi="等线" w:eastAsia="等线"/>
                <w:b/>
                <w:bCs/>
                <w:lang w:val="en-US" w:eastAsia="zh-CN"/>
              </w:rPr>
              <w:br w:type="textWrapping"/>
            </w:r>
            <w:r>
              <w:rPr>
                <w:rFonts w:hint="eastAsia" w:ascii="等线" w:hAnsi="等线" w:eastAsia="等线"/>
                <w:b/>
                <w:bCs/>
                <w:lang w:val="en-US" w:eastAsia="zh-CN"/>
              </w:rPr>
              <w:t>2、进口其他品牌</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提供产品对应的授权或代理证明资料</w:t>
            </w:r>
          </w:p>
        </w:tc>
      </w:tr>
      <w:tr>
        <w:tblPrEx>
          <w:tblLayout w:type="fixed"/>
          <w:tblCellMar>
            <w:top w:w="0" w:type="dxa"/>
            <w:left w:w="0" w:type="dxa"/>
            <w:bottom w:w="0" w:type="dxa"/>
            <w:right w:w="0" w:type="dxa"/>
          </w:tblCellMar>
        </w:tblPrEx>
        <w:trPr>
          <w:trHeight w:val="1125" w:hRule="atLeast"/>
        </w:trPr>
        <w:tc>
          <w:tcPr>
            <w:tcW w:w="570" w:type="dxa"/>
            <w:vMerge w:val="continue"/>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同类相关业绩</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例举的同类项目在相关汽车或工程机械行业同类签订的业绩证明</w:t>
            </w:r>
          </w:p>
        </w:tc>
        <w:tc>
          <w:tcPr>
            <w:tcW w:w="7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提供与国内相关汽车或工程机械行业同类的同类合同，签署日期必须为2020年及以后，脱敏后仍需保留符合判定条件的关键信息。</w:t>
            </w:r>
            <w:r>
              <w:rPr>
                <w:rFonts w:hint="eastAsia" w:ascii="等线" w:hAnsi="等线" w:eastAsia="等线"/>
                <w:b/>
                <w:bCs/>
                <w:lang w:val="en-US" w:eastAsia="zh-CN"/>
              </w:rPr>
              <w:br w:type="textWrapping"/>
            </w:r>
            <w:r>
              <w:rPr>
                <w:rFonts w:hint="eastAsia" w:ascii="等线" w:hAnsi="等线" w:eastAsia="等线"/>
                <w:b/>
                <w:bCs/>
                <w:lang w:val="en-US" w:eastAsia="zh-CN"/>
              </w:rPr>
              <w:t>（类似项目业绩，以合同签订时间为准，提供业绩合同中须有合同名称、合同主体、合同总金额、盖章页等主要页。投标人须提供有效的证明资料并加盖投标人公章。）</w:t>
            </w:r>
          </w:p>
        </w:tc>
      </w:tr>
      <w:tr>
        <w:tblPrEx>
          <w:shd w:val="clear" w:color="auto" w:fill="auto"/>
          <w:tblLayout w:type="fixed"/>
          <w:tblCellMar>
            <w:top w:w="0" w:type="dxa"/>
            <w:left w:w="0" w:type="dxa"/>
            <w:bottom w:w="0" w:type="dxa"/>
            <w:right w:w="0" w:type="dxa"/>
          </w:tblCellMar>
        </w:tblPrEx>
        <w:trPr>
          <w:trHeight w:val="735" w:hRule="atLeast"/>
        </w:trPr>
        <w:tc>
          <w:tcPr>
            <w:tcW w:w="570" w:type="dxa"/>
            <w:vMerge w:val="continue"/>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p>
        </w:tc>
        <w:tc>
          <w:tcPr>
            <w:tcW w:w="273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拟配套项目团队能力</w:t>
            </w:r>
          </w:p>
        </w:tc>
        <w:tc>
          <w:tcPr>
            <w:tcW w:w="3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拟投入本项目团队成员（不限于项目经理、技术人员、测试人员、售后人员情况、资历及资质等）</w:t>
            </w:r>
          </w:p>
        </w:tc>
        <w:tc>
          <w:tcPr>
            <w:tcW w:w="7260"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等线" w:hAnsi="等线" w:eastAsia="等线"/>
                <w:b/>
                <w:bCs/>
              </w:rPr>
            </w:pPr>
            <w:r>
              <w:rPr>
                <w:rFonts w:hint="eastAsia" w:ascii="等线" w:hAnsi="等线" w:eastAsia="等线"/>
                <w:b/>
                <w:bCs/>
                <w:lang w:val="en-US" w:eastAsia="zh-CN"/>
              </w:rPr>
              <w:t>提供标书附件五-服务团队清单</w:t>
            </w:r>
          </w:p>
        </w:tc>
      </w:tr>
    </w:tbl>
    <w:p>
      <w:pPr>
        <w:rPr>
          <w:rFonts w:hint="eastAsia" w:ascii="等线" w:hAnsi="等线" w:eastAsia="等线"/>
          <w:b/>
          <w:bCs/>
        </w:rPr>
      </w:pPr>
    </w:p>
    <w:p>
      <w:pPr>
        <w:widowControl/>
        <w:jc w:val="left"/>
        <w:rPr>
          <w:rFonts w:hint="eastAsia" w:ascii="等线" w:hAnsi="等线" w:eastAsia="等线"/>
          <w:b/>
          <w:bCs/>
          <w:szCs w:val="21"/>
        </w:rPr>
      </w:pPr>
      <w:r>
        <w:rPr>
          <w:rFonts w:hint="eastAsia" w:ascii="等线" w:hAnsi="等线" w:eastAsia="等线"/>
          <w:b/>
          <w:bCs/>
          <w:szCs w:val="21"/>
        </w:rPr>
        <w:t>表二：供应商商务价格评审项目/评分标准</w:t>
      </w:r>
    </w:p>
    <w:tbl>
      <w:tblPr>
        <w:tblStyle w:val="11"/>
        <w:tblW w:w="157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70"/>
        <w:gridCol w:w="1470"/>
        <w:gridCol w:w="2730"/>
        <w:gridCol w:w="3720"/>
        <w:gridCol w:w="7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275" w:hRule="atLeast"/>
        </w:trPr>
        <w:tc>
          <w:tcPr>
            <w:tcW w:w="570" w:type="dxa"/>
            <w:tcBorders>
              <w:tl2br w:val="nil"/>
              <w:tr2bl w:val="nil"/>
            </w:tcBorders>
            <w:shd w:val="clear" w:color="auto" w:fill="auto"/>
            <w:tcMar>
              <w:top w:w="15" w:type="dxa"/>
              <w:left w:w="15" w:type="dxa"/>
              <w:right w:w="15" w:type="dxa"/>
            </w:tcMar>
            <w:vAlign w:val="center"/>
          </w:tcPr>
          <w:p>
            <w:pPr>
              <w:rPr>
                <w:rFonts w:hint="eastAsia" w:ascii="等线" w:hAnsi="等线" w:eastAsia="等线"/>
                <w:b/>
                <w:bCs/>
                <w:sz w:val="18"/>
                <w:szCs w:val="18"/>
              </w:rPr>
            </w:pPr>
            <w:r>
              <w:rPr>
                <w:rFonts w:hint="eastAsia" w:ascii="等线" w:hAnsi="等线" w:eastAsia="等线"/>
                <w:b/>
                <w:bCs/>
                <w:sz w:val="18"/>
                <w:szCs w:val="18"/>
                <w:lang w:val="en-US" w:eastAsia="zh-CN"/>
              </w:rPr>
              <w:t>1</w:t>
            </w:r>
          </w:p>
        </w:tc>
        <w:tc>
          <w:tcPr>
            <w:tcW w:w="1470" w:type="dxa"/>
            <w:tcBorders>
              <w:tl2br w:val="nil"/>
              <w:tr2bl w:val="nil"/>
            </w:tcBorders>
            <w:shd w:val="clear" w:color="auto" w:fill="auto"/>
            <w:tcMar>
              <w:top w:w="15" w:type="dxa"/>
              <w:left w:w="15" w:type="dxa"/>
              <w:right w:w="15" w:type="dxa"/>
            </w:tcMar>
            <w:vAlign w:val="center"/>
          </w:tcPr>
          <w:p>
            <w:pPr>
              <w:rPr>
                <w:rFonts w:hint="eastAsia" w:ascii="等线" w:hAnsi="等线" w:eastAsia="等线"/>
                <w:b/>
                <w:bCs/>
                <w:sz w:val="18"/>
                <w:szCs w:val="18"/>
              </w:rPr>
            </w:pPr>
            <w:r>
              <w:rPr>
                <w:rFonts w:hint="eastAsia" w:ascii="等线" w:hAnsi="等线" w:eastAsia="等线"/>
                <w:b/>
                <w:bCs/>
                <w:sz w:val="18"/>
                <w:szCs w:val="18"/>
                <w:lang w:val="en-US" w:eastAsia="zh-CN"/>
              </w:rPr>
              <w:t>价格C</w:t>
            </w:r>
          </w:p>
        </w:tc>
        <w:tc>
          <w:tcPr>
            <w:tcW w:w="2730" w:type="dxa"/>
            <w:tcBorders>
              <w:tl2br w:val="nil"/>
              <w:tr2bl w:val="nil"/>
            </w:tcBorders>
            <w:shd w:val="clear" w:color="auto" w:fill="auto"/>
            <w:tcMar>
              <w:top w:w="15" w:type="dxa"/>
              <w:left w:w="15" w:type="dxa"/>
              <w:right w:w="15" w:type="dxa"/>
            </w:tcMar>
            <w:vAlign w:val="center"/>
          </w:tcPr>
          <w:p>
            <w:pPr>
              <w:rPr>
                <w:rFonts w:hint="eastAsia" w:ascii="等线" w:hAnsi="等线" w:eastAsia="等线"/>
                <w:b/>
                <w:bCs/>
                <w:sz w:val="18"/>
                <w:szCs w:val="18"/>
              </w:rPr>
            </w:pPr>
            <w:r>
              <w:rPr>
                <w:rFonts w:hint="eastAsia" w:ascii="等线" w:hAnsi="等线" w:eastAsia="等线"/>
                <w:b/>
                <w:bCs/>
                <w:sz w:val="18"/>
                <w:szCs w:val="18"/>
                <w:lang w:val="en-US" w:eastAsia="zh-CN"/>
              </w:rPr>
              <w:t>配套物料价格/提供设计&amp;服务价格</w:t>
            </w:r>
          </w:p>
        </w:tc>
        <w:tc>
          <w:tcPr>
            <w:tcW w:w="3720" w:type="dxa"/>
            <w:tcBorders>
              <w:tl2br w:val="nil"/>
              <w:tr2bl w:val="nil"/>
            </w:tcBorders>
            <w:shd w:val="clear" w:color="auto" w:fill="auto"/>
            <w:tcMar>
              <w:top w:w="15" w:type="dxa"/>
              <w:left w:w="15" w:type="dxa"/>
              <w:right w:w="15" w:type="dxa"/>
            </w:tcMar>
            <w:vAlign w:val="center"/>
          </w:tcPr>
          <w:p>
            <w:pPr>
              <w:rPr>
                <w:rFonts w:hint="eastAsia" w:ascii="等线" w:hAnsi="等线" w:eastAsia="等线"/>
                <w:b/>
                <w:bCs/>
                <w:sz w:val="18"/>
                <w:szCs w:val="18"/>
              </w:rPr>
            </w:pPr>
            <w:r>
              <w:rPr>
                <w:rFonts w:hint="eastAsia" w:ascii="等线" w:hAnsi="等线" w:eastAsia="等线"/>
                <w:b/>
                <w:bCs/>
                <w:sz w:val="18"/>
                <w:szCs w:val="18"/>
                <w:lang w:val="en-US" w:eastAsia="zh-CN"/>
              </w:rPr>
              <w:t>比值法：满足招标文件要求且投标价格最低的投标报价作为评标基准价，其价格分为满分；投标报价得分=（评标基准价/投标报价）*50</w:t>
            </w:r>
          </w:p>
        </w:tc>
        <w:tc>
          <w:tcPr>
            <w:tcW w:w="7260" w:type="dxa"/>
            <w:tcBorders>
              <w:tl2br w:val="nil"/>
              <w:tr2bl w:val="nil"/>
            </w:tcBorders>
            <w:shd w:val="clear" w:color="auto" w:fill="auto"/>
            <w:tcMar>
              <w:top w:w="15" w:type="dxa"/>
              <w:left w:w="15" w:type="dxa"/>
              <w:right w:w="15" w:type="dxa"/>
            </w:tcMar>
            <w:vAlign w:val="top"/>
          </w:tcPr>
          <w:p>
            <w:pPr>
              <w:jc w:val="left"/>
              <w:rPr>
                <w:rFonts w:hint="eastAsia" w:ascii="等线" w:hAnsi="等线" w:eastAsia="等线"/>
                <w:b/>
                <w:bCs/>
                <w:sz w:val="18"/>
                <w:szCs w:val="18"/>
              </w:rPr>
            </w:pPr>
            <w:r>
              <w:rPr>
                <w:rFonts w:hint="eastAsia" w:ascii="等线" w:hAnsi="等线" w:eastAsia="等线"/>
                <w:b/>
                <w:bCs/>
                <w:sz w:val="18"/>
                <w:szCs w:val="18"/>
                <w:lang w:val="en-US" w:eastAsia="zh-CN"/>
              </w:rPr>
              <w:t>投标报价一览表所涉及的项目总价（不含税/含税）</w:t>
            </w:r>
            <w:r>
              <w:rPr>
                <w:rFonts w:hint="eastAsia" w:ascii="等线" w:hAnsi="等线" w:eastAsia="等线"/>
                <w:b/>
                <w:bCs/>
                <w:sz w:val="18"/>
                <w:szCs w:val="18"/>
                <w:lang w:val="en-US" w:eastAsia="zh-CN"/>
              </w:rPr>
              <w:br w:type="textWrapping"/>
            </w:r>
            <w:r>
              <w:rPr>
                <w:rFonts w:hint="eastAsia" w:ascii="等线" w:hAnsi="等线" w:eastAsia="等线"/>
                <w:b/>
                <w:bCs/>
                <w:sz w:val="18"/>
                <w:szCs w:val="18"/>
                <w:lang w:val="en-US" w:eastAsia="zh-CN"/>
              </w:rPr>
              <w:t>各分项报价保留小数点后2位有效数字</w:t>
            </w:r>
          </w:p>
        </w:tc>
      </w:tr>
    </w:tbl>
    <w:p>
      <w:pPr>
        <w:rPr>
          <w:rFonts w:hint="eastAsia" w:ascii="等线" w:hAnsi="等线" w:eastAsia="等线"/>
          <w:b/>
          <w:bCs/>
          <w:sz w:val="18"/>
          <w:szCs w:val="18"/>
        </w:rPr>
      </w:pPr>
    </w:p>
    <w:sectPr>
      <w:pgSz w:w="16838" w:h="11906" w:orient="landscape"/>
      <w:pgMar w:top="567" w:right="567" w:bottom="284" w:left="85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E34570"/>
    <w:multiLevelType w:val="singleLevel"/>
    <w:tmpl w:val="B1E34570"/>
    <w:lvl w:ilvl="0" w:tentative="0">
      <w:start w:val="1"/>
      <w:numFmt w:val="decimal"/>
      <w:suff w:val="nothing"/>
      <w:lvlText w:val="%1、"/>
      <w:lvlJc w:val="left"/>
    </w:lvl>
  </w:abstractNum>
  <w:abstractNum w:abstractNumId="1">
    <w:nsid w:val="F9F9D6B1"/>
    <w:multiLevelType w:val="singleLevel"/>
    <w:tmpl w:val="F9F9D6B1"/>
    <w:lvl w:ilvl="0" w:tentative="0">
      <w:start w:val="1"/>
      <w:numFmt w:val="chineseCounting"/>
      <w:suff w:val="nothing"/>
      <w:lvlText w:val="（%1）"/>
      <w:lvlJc w:val="left"/>
      <w:rPr>
        <w:rFonts w:hint="eastAsia"/>
      </w:rPr>
    </w:lvl>
  </w:abstractNum>
  <w:abstractNum w:abstractNumId="2">
    <w:nsid w:val="7F836D36"/>
    <w:multiLevelType w:val="singleLevel"/>
    <w:tmpl w:val="7F836D36"/>
    <w:lvl w:ilvl="0" w:tentative="0">
      <w:start w:val="2"/>
      <w:numFmt w:val="chineseCounting"/>
      <w:suff w:val="nothing"/>
      <w:lvlText w:val="%1、"/>
      <w:lvlJc w:val="left"/>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2384"/>
    <w:rsid w:val="0006225D"/>
    <w:rsid w:val="000B0B65"/>
    <w:rsid w:val="000C3DB0"/>
    <w:rsid w:val="000D1126"/>
    <w:rsid w:val="000E6041"/>
    <w:rsid w:val="000F4A51"/>
    <w:rsid w:val="00142E42"/>
    <w:rsid w:val="00143264"/>
    <w:rsid w:val="00161C70"/>
    <w:rsid w:val="00172A27"/>
    <w:rsid w:val="001B7172"/>
    <w:rsid w:val="001C34FE"/>
    <w:rsid w:val="001D336D"/>
    <w:rsid w:val="00200525"/>
    <w:rsid w:val="00214B8E"/>
    <w:rsid w:val="00223B7B"/>
    <w:rsid w:val="00230B74"/>
    <w:rsid w:val="00275DE6"/>
    <w:rsid w:val="002C4FA0"/>
    <w:rsid w:val="002F4E44"/>
    <w:rsid w:val="00321756"/>
    <w:rsid w:val="003536BD"/>
    <w:rsid w:val="00382ADE"/>
    <w:rsid w:val="003855FD"/>
    <w:rsid w:val="00385C1C"/>
    <w:rsid w:val="004622C9"/>
    <w:rsid w:val="004A5A99"/>
    <w:rsid w:val="004D34D3"/>
    <w:rsid w:val="005529F3"/>
    <w:rsid w:val="00560705"/>
    <w:rsid w:val="005A3146"/>
    <w:rsid w:val="005A590D"/>
    <w:rsid w:val="005E5FA8"/>
    <w:rsid w:val="00617A00"/>
    <w:rsid w:val="00654F9A"/>
    <w:rsid w:val="006B6A7B"/>
    <w:rsid w:val="00723765"/>
    <w:rsid w:val="007242A9"/>
    <w:rsid w:val="00724CE0"/>
    <w:rsid w:val="007344EA"/>
    <w:rsid w:val="00773E90"/>
    <w:rsid w:val="007A1BA8"/>
    <w:rsid w:val="007A32BB"/>
    <w:rsid w:val="007E72ED"/>
    <w:rsid w:val="007F7DC7"/>
    <w:rsid w:val="008450B7"/>
    <w:rsid w:val="00852DB8"/>
    <w:rsid w:val="00862DA9"/>
    <w:rsid w:val="00871A69"/>
    <w:rsid w:val="00935728"/>
    <w:rsid w:val="0098516E"/>
    <w:rsid w:val="00985317"/>
    <w:rsid w:val="009B0972"/>
    <w:rsid w:val="009F1404"/>
    <w:rsid w:val="00A23D2B"/>
    <w:rsid w:val="00A646A2"/>
    <w:rsid w:val="00AB2F20"/>
    <w:rsid w:val="00AD7822"/>
    <w:rsid w:val="00B06412"/>
    <w:rsid w:val="00B55276"/>
    <w:rsid w:val="00BA3827"/>
    <w:rsid w:val="00BB45F0"/>
    <w:rsid w:val="00BE1AA5"/>
    <w:rsid w:val="00BF6E8D"/>
    <w:rsid w:val="00C26D29"/>
    <w:rsid w:val="00C3109C"/>
    <w:rsid w:val="00C31999"/>
    <w:rsid w:val="00C3537D"/>
    <w:rsid w:val="00C41956"/>
    <w:rsid w:val="00CA2B21"/>
    <w:rsid w:val="00CB5CB7"/>
    <w:rsid w:val="00CC409F"/>
    <w:rsid w:val="00CF7EB6"/>
    <w:rsid w:val="00D02256"/>
    <w:rsid w:val="00D1191E"/>
    <w:rsid w:val="00D43C43"/>
    <w:rsid w:val="00D44D39"/>
    <w:rsid w:val="00D55399"/>
    <w:rsid w:val="00E425AA"/>
    <w:rsid w:val="00E44D16"/>
    <w:rsid w:val="00E91FEB"/>
    <w:rsid w:val="00EA0954"/>
    <w:rsid w:val="00EA09AD"/>
    <w:rsid w:val="00EA4FE3"/>
    <w:rsid w:val="00EE06F4"/>
    <w:rsid w:val="00EE3E81"/>
    <w:rsid w:val="00F01F45"/>
    <w:rsid w:val="00F26B3B"/>
    <w:rsid w:val="00F66A1B"/>
    <w:rsid w:val="00F8763E"/>
    <w:rsid w:val="00FA6120"/>
    <w:rsid w:val="00FB1B5D"/>
    <w:rsid w:val="022551BE"/>
    <w:rsid w:val="02BF0A2C"/>
    <w:rsid w:val="079A5CDF"/>
    <w:rsid w:val="1592502D"/>
    <w:rsid w:val="1CEA60BE"/>
    <w:rsid w:val="1EA00538"/>
    <w:rsid w:val="1FBB06EF"/>
    <w:rsid w:val="21723892"/>
    <w:rsid w:val="28D64C70"/>
    <w:rsid w:val="2A9A6A3F"/>
    <w:rsid w:val="2C9C69E0"/>
    <w:rsid w:val="2CE360C1"/>
    <w:rsid w:val="308560FA"/>
    <w:rsid w:val="37B8782F"/>
    <w:rsid w:val="38227A84"/>
    <w:rsid w:val="40394773"/>
    <w:rsid w:val="46251800"/>
    <w:rsid w:val="464A4625"/>
    <w:rsid w:val="47986B78"/>
    <w:rsid w:val="482960B1"/>
    <w:rsid w:val="50C1434C"/>
    <w:rsid w:val="5B606120"/>
    <w:rsid w:val="611A61A2"/>
    <w:rsid w:val="643C6F6D"/>
    <w:rsid w:val="66CA10FA"/>
    <w:rsid w:val="67E1471F"/>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9">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qFormat/>
    <w:uiPriority w:val="0"/>
    <w:rPr>
      <w:b/>
      <w:bCs/>
    </w:rPr>
  </w:style>
  <w:style w:type="paragraph" w:styleId="4">
    <w:name w:val="annotation text"/>
    <w:basedOn w:val="1"/>
    <w:link w:val="19"/>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annotation reference"/>
    <w:basedOn w:val="9"/>
    <w:qFormat/>
    <w:uiPriority w:val="0"/>
    <w:rPr>
      <w:sz w:val="21"/>
      <w:szCs w:val="21"/>
    </w:rPr>
  </w:style>
  <w:style w:type="paragraph" w:styleId="12">
    <w:name w:val="List Paragraph"/>
    <w:basedOn w:val="1"/>
    <w:qFormat/>
    <w:uiPriority w:val="34"/>
    <w:pPr>
      <w:ind w:firstLine="420" w:firstLineChars="200"/>
    </w:pPr>
    <w:rPr>
      <w:rFonts w:ascii="Times New Roman" w:hAnsi="Times New Roman"/>
      <w:sz w:val="24"/>
      <w:szCs w:val="24"/>
    </w:rPr>
  </w:style>
  <w:style w:type="character" w:customStyle="1" w:styleId="13">
    <w:name w:val="font7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auto"/>
      <w:sz w:val="20"/>
      <w:szCs w:val="20"/>
      <w:u w:val="none"/>
    </w:rPr>
  </w:style>
  <w:style w:type="character" w:customStyle="1" w:styleId="15">
    <w:name w:val="font61"/>
    <w:basedOn w:val="9"/>
    <w:qFormat/>
    <w:uiPriority w:val="0"/>
    <w:rPr>
      <w:rFonts w:hint="eastAsia" w:ascii="宋体" w:hAnsi="宋体" w:eastAsia="宋体" w:cs="宋体"/>
      <w:color w:val="000000"/>
      <w:sz w:val="20"/>
      <w:szCs w:val="20"/>
      <w:u w:val="none"/>
    </w:rPr>
  </w:style>
  <w:style w:type="character" w:customStyle="1" w:styleId="16">
    <w:name w:val="font81"/>
    <w:basedOn w:val="9"/>
    <w:qFormat/>
    <w:uiPriority w:val="0"/>
    <w:rPr>
      <w:rFonts w:hint="eastAsia" w:ascii="宋体" w:hAnsi="宋体" w:eastAsia="宋体" w:cs="宋体"/>
      <w:b/>
      <w:color w:val="1F497D"/>
      <w:sz w:val="20"/>
      <w:szCs w:val="20"/>
      <w:u w:val="none"/>
    </w:rPr>
  </w:style>
  <w:style w:type="character" w:customStyle="1" w:styleId="17">
    <w:name w:val="font91"/>
    <w:basedOn w:val="9"/>
    <w:qFormat/>
    <w:uiPriority w:val="0"/>
    <w:rPr>
      <w:rFonts w:hint="eastAsia" w:ascii="宋体" w:hAnsi="宋体" w:eastAsia="宋体" w:cs="宋体"/>
      <w:b/>
      <w:color w:val="FF0000"/>
      <w:sz w:val="20"/>
      <w:szCs w:val="20"/>
      <w:u w:val="none"/>
    </w:rPr>
  </w:style>
  <w:style w:type="character" w:customStyle="1" w:styleId="18">
    <w:name w:val="font51"/>
    <w:basedOn w:val="9"/>
    <w:qFormat/>
    <w:uiPriority w:val="0"/>
    <w:rPr>
      <w:rFonts w:hint="eastAsia" w:ascii="宋体" w:hAnsi="宋体" w:eastAsia="宋体" w:cs="宋体"/>
      <w:color w:val="000000"/>
      <w:sz w:val="20"/>
      <w:szCs w:val="20"/>
      <w:u w:val="none"/>
    </w:rPr>
  </w:style>
  <w:style w:type="character" w:customStyle="1" w:styleId="19">
    <w:name w:val="批注文字 字符"/>
    <w:basedOn w:val="9"/>
    <w:link w:val="4"/>
    <w:qFormat/>
    <w:uiPriority w:val="0"/>
    <w:rPr>
      <w:rFonts w:ascii="Calibri" w:hAnsi="Calibri"/>
      <w:kern w:val="2"/>
      <w:sz w:val="21"/>
      <w:szCs w:val="22"/>
    </w:rPr>
  </w:style>
  <w:style w:type="character" w:customStyle="1" w:styleId="20">
    <w:name w:val="批注主题 字符"/>
    <w:basedOn w:val="19"/>
    <w:link w:val="3"/>
    <w:qFormat/>
    <w:uiPriority w:val="0"/>
    <w:rPr>
      <w:rFonts w:ascii="Calibri" w:hAnsi="Calibri"/>
      <w:b/>
      <w:bCs/>
      <w:kern w:val="2"/>
      <w:sz w:val="21"/>
      <w:szCs w:val="22"/>
    </w:rPr>
  </w:style>
  <w:style w:type="character" w:customStyle="1" w:styleId="21">
    <w:name w:val="页眉 字符"/>
    <w:basedOn w:val="9"/>
    <w:link w:val="7"/>
    <w:qFormat/>
    <w:uiPriority w:val="0"/>
    <w:rPr>
      <w:rFonts w:ascii="Calibri" w:hAnsi="Calibri"/>
      <w:kern w:val="2"/>
      <w:sz w:val="18"/>
      <w:szCs w:val="18"/>
    </w:rPr>
  </w:style>
  <w:style w:type="character" w:customStyle="1" w:styleId="22">
    <w:name w:val="页脚 字符"/>
    <w:basedOn w:val="9"/>
    <w:link w:val="6"/>
    <w:qFormat/>
    <w:uiPriority w:val="0"/>
    <w:rPr>
      <w:rFonts w:ascii="Calibri" w:hAnsi="Calibri"/>
      <w:kern w:val="2"/>
      <w:sz w:val="18"/>
      <w:szCs w:val="18"/>
    </w:rPr>
  </w:style>
  <w:style w:type="character" w:customStyle="1" w:styleId="23">
    <w:name w:val="font31"/>
    <w:basedOn w:val="9"/>
    <w:qFormat/>
    <w:uiPriority w:val="0"/>
    <w:rPr>
      <w:rFonts w:hint="eastAsia" w:ascii="宋体" w:hAnsi="宋体" w:eastAsia="宋体" w:cs="宋体"/>
      <w:color w:val="0000FF"/>
      <w:sz w:val="20"/>
      <w:szCs w:val="20"/>
      <w:u w:val="none"/>
    </w:rPr>
  </w:style>
  <w:style w:type="character" w:customStyle="1" w:styleId="24">
    <w:name w:val="font21"/>
    <w:basedOn w:val="9"/>
    <w:qFormat/>
    <w:uiPriority w:val="0"/>
    <w:rPr>
      <w:rFonts w:hint="eastAsia" w:ascii="宋体" w:hAnsi="宋体" w:eastAsia="宋体" w:cs="宋体"/>
      <w:color w:val="000000"/>
      <w:sz w:val="20"/>
      <w:szCs w:val="20"/>
      <w:u w:val="none"/>
    </w:rPr>
  </w:style>
  <w:style w:type="character" w:customStyle="1" w:styleId="25">
    <w:name w:val="font41"/>
    <w:basedOn w:val="9"/>
    <w:qFormat/>
    <w:uiPriority w:val="0"/>
    <w:rPr>
      <w:rFonts w:hint="eastAsia" w:ascii="宋体" w:hAnsi="宋体" w:eastAsia="宋体" w:cs="宋体"/>
      <w:b/>
      <w:color w:val="000000"/>
      <w:sz w:val="18"/>
      <w:szCs w:val="18"/>
      <w:u w:val="none"/>
    </w:rPr>
  </w:style>
  <w:style w:type="character" w:customStyle="1" w:styleId="26">
    <w:name w:val="font11"/>
    <w:basedOn w:val="9"/>
    <w:qFormat/>
    <w:uiPriority w:val="0"/>
    <w:rPr>
      <w:rFonts w:hint="eastAsia" w:ascii="宋体" w:hAnsi="宋体" w:eastAsia="宋体" w:cs="宋体"/>
      <w:b/>
      <w:color w:val="0000FF"/>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03BA2-20B8-40E7-893D-914F1479B16F}">
  <ds:schemaRefs/>
</ds:datastoreItem>
</file>

<file path=docProps/app.xml><?xml version="1.0" encoding="utf-8"?>
<Properties xmlns="http://schemas.openxmlformats.org/officeDocument/2006/extended-properties" xmlns:vt="http://schemas.openxmlformats.org/officeDocument/2006/docPropsVTypes">
  <Template>Normal</Template>
  <Pages>5</Pages>
  <Words>775</Words>
  <Characters>4419</Characters>
  <Lines>36</Lines>
  <Paragraphs>10</Paragraphs>
  <TotalTime>5</TotalTime>
  <ScaleCrop>false</ScaleCrop>
  <LinksUpToDate>false</LinksUpToDate>
  <CharactersWithSpaces>5184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2025-08-22T03:39:00Z</dcterms:created>
  <dc:creator>chenyaohui</dc:creator>
  <cp:lastModifiedBy>wuhh</cp:lastModifiedBy>
  <dcterms:modified xsi:type="dcterms:W3CDTF">2025-08-26T07:48:32Z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