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120"/>
        <w:rPr>
          <w:rFonts w:hint="eastAsia" w:ascii="Tahoma" w:hAnsi="Verdana" w:cs="Tahoma"/>
          <w:color w:val="auto"/>
          <w:szCs w:val="21"/>
          <w:lang w:eastAsia="zh-CN"/>
        </w:rPr>
      </w:pPr>
      <w:bookmarkStart w:id="0" w:name="_Toc5934"/>
      <w:bookmarkStart w:id="1" w:name="_Toc14358"/>
      <w:bookmarkStart w:id="2" w:name="_Toc26315"/>
      <w:bookmarkStart w:id="3" w:name="_Toc19915"/>
      <w:bookmarkStart w:id="4" w:name="_Toc20631"/>
      <w:bookmarkStart w:id="5" w:name="_Toc97560485"/>
      <w:bookmarkStart w:id="6" w:name="_Toc17193"/>
      <w:bookmarkStart w:id="7" w:name="_Toc21409"/>
      <w:r>
        <w:rPr>
          <w:rFonts w:hint="eastAsia" w:ascii="Tahoma" w:hAnsi="Verdana" w:cs="Tahoma"/>
          <w:color w:val="auto"/>
          <w:szCs w:val="21"/>
          <w:lang w:eastAsia="zh-CN"/>
        </w:rPr>
        <w:t>金龙汽车集团2025-2026年度欧标认证项目</w:t>
      </w:r>
    </w:p>
    <w:p>
      <w:pPr>
        <w:pStyle w:val="2"/>
        <w:keepNext w:val="0"/>
        <w:keepLines w:val="0"/>
        <w:adjustRightInd w:val="0"/>
        <w:snapToGrid w:val="0"/>
        <w:spacing w:before="0" w:after="120"/>
        <w:rPr>
          <w:sz w:val="30"/>
          <w:szCs w:val="30"/>
        </w:rPr>
      </w:pP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p>
    <w:p>
      <w:pPr>
        <w:spacing w:before="156" w:beforeLines="50" w:after="156" w:afterLines="50" w:line="440" w:lineRule="exact"/>
        <w:rPr>
          <w:rFonts w:hint="eastAsia" w:ascii="宋体" w:hAnsi="宋体"/>
          <w:b/>
          <w:sz w:val="28"/>
          <w:szCs w:val="28"/>
          <w:lang w:val="zh-CN"/>
        </w:rPr>
      </w:pPr>
      <w:bookmarkStart w:id="8" w:name="_Toc314838394"/>
      <w:bookmarkStart w:id="9" w:name="_Toc169877489"/>
      <w:bookmarkStart w:id="10" w:name="_Toc169944036"/>
      <w:bookmarkStart w:id="11" w:name="_Toc525995791"/>
      <w:bookmarkStart w:id="12" w:name="_Toc820"/>
      <w:bookmarkStart w:id="13" w:name="_Toc7029"/>
      <w:bookmarkStart w:id="14" w:name="_Toc525994743"/>
      <w:bookmarkStart w:id="15" w:name="_Toc9747"/>
      <w:bookmarkStart w:id="16" w:name="_Toc525994809"/>
      <w:bookmarkStart w:id="17" w:name="_Toc27798"/>
      <w:bookmarkStart w:id="18" w:name="_Toc19828"/>
      <w:bookmarkStart w:id="19" w:name="_Toc14355"/>
      <w:r>
        <w:rPr>
          <w:rFonts w:hint="eastAsia" w:ascii="宋体" w:hAnsi="宋体"/>
          <w:b/>
          <w:sz w:val="28"/>
          <w:szCs w:val="28"/>
          <w:lang w:val="zh-CN"/>
        </w:rPr>
        <w:t>一、</w:t>
      </w:r>
      <w:bookmarkEnd w:id="8"/>
      <w:bookmarkEnd w:id="9"/>
      <w:bookmarkEnd w:id="10"/>
      <w:r>
        <w:rPr>
          <w:rFonts w:hint="eastAsia" w:ascii="宋体" w:hAnsi="宋体"/>
          <w:b/>
          <w:sz w:val="28"/>
          <w:szCs w:val="28"/>
          <w:lang w:val="zh-CN"/>
        </w:rPr>
        <w:t>项目概况</w:t>
      </w:r>
      <w:bookmarkEnd w:id="11"/>
      <w:bookmarkEnd w:id="12"/>
      <w:bookmarkEnd w:id="13"/>
      <w:bookmarkEnd w:id="14"/>
      <w:bookmarkEnd w:id="15"/>
      <w:bookmarkEnd w:id="16"/>
      <w:bookmarkEnd w:id="17"/>
      <w:bookmarkEnd w:id="18"/>
      <w:bookmarkEnd w:id="19"/>
    </w:p>
    <w:p>
      <w:pPr>
        <w:spacing w:line="360" w:lineRule="auto"/>
        <w:ind w:firstLine="480" w:firstLineChars="200"/>
        <w:rPr>
          <w:rFonts w:hint="eastAsia" w:ascii="宋体" w:hAnsi="宋体"/>
          <w:sz w:val="24"/>
          <w:lang w:val="zh-CN"/>
        </w:rPr>
      </w:pPr>
      <w:bookmarkStart w:id="20" w:name="_Toc32629"/>
      <w:bookmarkStart w:id="21" w:name="_Toc525995794"/>
      <w:bookmarkStart w:id="22" w:name="_Toc525994744"/>
      <w:bookmarkStart w:id="23" w:name="_Toc10601"/>
      <w:bookmarkStart w:id="24" w:name="_Toc525994812"/>
      <w:bookmarkStart w:id="25" w:name="_Toc17634"/>
      <w:bookmarkStart w:id="26" w:name="_Toc10711"/>
      <w:r>
        <w:rPr>
          <w:rFonts w:hint="eastAsia" w:ascii="宋体" w:hAnsi="宋体"/>
          <w:sz w:val="24"/>
          <w:lang w:val="zh-CN"/>
        </w:rPr>
        <w:t>本次招标为</w:t>
      </w:r>
      <w:r>
        <w:rPr>
          <w:rFonts w:hint="eastAsia" w:ascii="宋体" w:hAnsi="宋体"/>
          <w:sz w:val="24"/>
          <w:lang w:val="zh-CN" w:eastAsia="zh-CN"/>
        </w:rPr>
        <w:t>金龙汽车集团2025-2026年度欧标认证</w:t>
      </w:r>
      <w:bookmarkStart w:id="27" w:name="_GoBack"/>
      <w:bookmarkEnd w:id="27"/>
      <w:r>
        <w:rPr>
          <w:rFonts w:hint="eastAsia" w:ascii="宋体" w:hAnsi="宋体"/>
          <w:sz w:val="24"/>
          <w:lang w:val="zh-CN"/>
        </w:rPr>
        <w:t>项目，旨在通过综合比较择优选取综合能力较好的四家外资认证公司及两家中资认证公司合计六家供应商为金龙汽车集团下属三家子公司厦门金龙联合汽车工业有限公司、金龙联合汽车工业（苏州）有限公司、厦门金龙旅行车有限公司提供欧标认证服务。</w:t>
      </w:r>
    </w:p>
    <w:tbl>
      <w:tblPr>
        <w:tblStyle w:val="11"/>
        <w:tblW w:w="8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9"/>
        <w:gridCol w:w="1095"/>
        <w:gridCol w:w="2244"/>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759" w:type="dxa"/>
            <w:vAlign w:val="center"/>
          </w:tcPr>
          <w:p>
            <w:pPr>
              <w:wordWrap w:val="0"/>
              <w:jc w:val="center"/>
              <w:rPr>
                <w:rFonts w:hint="eastAsia" w:ascii="宋体" w:hAnsi="宋体" w:cs="宋体"/>
                <w:b/>
                <w:sz w:val="21"/>
                <w:szCs w:val="21"/>
              </w:rPr>
            </w:pPr>
            <w:r>
              <w:rPr>
                <w:rFonts w:hint="eastAsia" w:ascii="宋体" w:hAnsi="宋体" w:cs="宋体"/>
                <w:b/>
                <w:sz w:val="21"/>
                <w:szCs w:val="21"/>
              </w:rPr>
              <w:t>项目名称</w:t>
            </w:r>
          </w:p>
        </w:tc>
        <w:tc>
          <w:tcPr>
            <w:tcW w:w="1095" w:type="dxa"/>
            <w:vAlign w:val="center"/>
          </w:tcPr>
          <w:p>
            <w:pPr>
              <w:wordWrap w:val="0"/>
              <w:jc w:val="center"/>
              <w:rPr>
                <w:rFonts w:hint="eastAsia" w:ascii="宋体" w:hAnsi="宋体" w:cs="宋体"/>
                <w:b/>
                <w:sz w:val="21"/>
                <w:szCs w:val="21"/>
              </w:rPr>
            </w:pPr>
            <w:r>
              <w:rPr>
                <w:rFonts w:hint="eastAsia" w:ascii="宋体" w:hAnsi="宋体" w:cs="宋体"/>
                <w:b/>
                <w:sz w:val="21"/>
                <w:szCs w:val="21"/>
                <w:lang w:val="en-US" w:eastAsia="zh-CN"/>
              </w:rPr>
              <w:t>合同包</w:t>
            </w:r>
          </w:p>
        </w:tc>
        <w:tc>
          <w:tcPr>
            <w:tcW w:w="2244" w:type="dxa"/>
            <w:vAlign w:val="center"/>
          </w:tcPr>
          <w:p>
            <w:pPr>
              <w:wordWrap w:val="0"/>
              <w:jc w:val="center"/>
              <w:rPr>
                <w:rFonts w:hint="default" w:ascii="宋体" w:hAnsi="宋体" w:cs="宋体"/>
                <w:b/>
                <w:sz w:val="21"/>
                <w:szCs w:val="21"/>
                <w:lang w:val="en-US" w:eastAsia="zh-CN"/>
              </w:rPr>
            </w:pPr>
            <w:r>
              <w:rPr>
                <w:rFonts w:hint="eastAsia" w:ascii="宋体" w:hAnsi="宋体" w:cs="宋体"/>
                <w:b/>
                <w:sz w:val="21"/>
                <w:szCs w:val="21"/>
                <w:lang w:val="en-US" w:eastAsia="zh-CN"/>
              </w:rPr>
              <w:t>合同包类别</w:t>
            </w:r>
          </w:p>
        </w:tc>
        <w:tc>
          <w:tcPr>
            <w:tcW w:w="2367" w:type="dxa"/>
            <w:vAlign w:val="center"/>
          </w:tcPr>
          <w:p>
            <w:pPr>
              <w:wordWrap w:val="0"/>
              <w:jc w:val="center"/>
              <w:rPr>
                <w:rFonts w:hint="default" w:ascii="宋体" w:hAnsi="宋体" w:cs="宋体"/>
                <w:b/>
                <w:sz w:val="21"/>
                <w:szCs w:val="21"/>
                <w:lang w:val="en-US" w:eastAsia="zh-CN"/>
              </w:rPr>
            </w:pPr>
            <w:r>
              <w:rPr>
                <w:rFonts w:hint="eastAsia" w:ascii="宋体" w:hAnsi="宋体" w:cs="宋体"/>
                <w:b/>
                <w:sz w:val="21"/>
                <w:szCs w:val="21"/>
                <w:lang w:val="en-US" w:eastAsia="zh-CN"/>
              </w:rPr>
              <w:t>定标家数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2759" w:type="dxa"/>
            <w:vMerge w:val="restart"/>
            <w:vAlign w:val="center"/>
          </w:tcPr>
          <w:p>
            <w:pPr>
              <w:wordWrap w:val="0"/>
              <w:spacing w:line="276"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金龙汽车集团2025-2026年度欧标认证项目</w:t>
            </w:r>
          </w:p>
        </w:tc>
        <w:tc>
          <w:tcPr>
            <w:tcW w:w="1095" w:type="dxa"/>
            <w:vAlign w:val="center"/>
          </w:tcPr>
          <w:p>
            <w:pPr>
              <w:wordWrap w:val="0"/>
              <w:spacing w:line="276" w:lineRule="auto"/>
              <w:jc w:val="center"/>
              <w:rPr>
                <w:rFonts w:hint="eastAsia" w:ascii="宋体" w:hAnsi="宋体" w:cs="宋体"/>
                <w:sz w:val="21"/>
                <w:szCs w:val="21"/>
              </w:rPr>
            </w:pPr>
            <w:r>
              <w:rPr>
                <w:rFonts w:hint="eastAsia" w:ascii="宋体" w:hAnsi="宋体" w:cs="宋体"/>
                <w:sz w:val="21"/>
                <w:szCs w:val="21"/>
                <w:lang w:val="en-US" w:eastAsia="zh-CN"/>
              </w:rPr>
              <w:t>1</w:t>
            </w:r>
          </w:p>
        </w:tc>
        <w:tc>
          <w:tcPr>
            <w:tcW w:w="2244" w:type="dxa"/>
            <w:vAlign w:val="center"/>
          </w:tcPr>
          <w:p>
            <w:pPr>
              <w:wordWrap w:val="0"/>
              <w:spacing w:line="276"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外资企业</w:t>
            </w:r>
          </w:p>
        </w:tc>
        <w:tc>
          <w:tcPr>
            <w:tcW w:w="2367" w:type="dxa"/>
            <w:vAlign w:val="center"/>
          </w:tcPr>
          <w:p>
            <w:pPr>
              <w:wordWrap w:val="0"/>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2759" w:type="dxa"/>
            <w:vMerge w:val="continue"/>
            <w:vAlign w:val="center"/>
          </w:tcPr>
          <w:p>
            <w:pPr>
              <w:wordWrap w:val="0"/>
              <w:spacing w:line="276" w:lineRule="auto"/>
              <w:jc w:val="center"/>
              <w:rPr>
                <w:rFonts w:hint="eastAsia" w:ascii="宋体" w:hAnsi="宋体" w:cs="宋体"/>
                <w:sz w:val="21"/>
                <w:szCs w:val="21"/>
              </w:rPr>
            </w:pPr>
          </w:p>
        </w:tc>
        <w:tc>
          <w:tcPr>
            <w:tcW w:w="1095" w:type="dxa"/>
            <w:vAlign w:val="center"/>
          </w:tcPr>
          <w:p>
            <w:pPr>
              <w:wordWrap w:val="0"/>
              <w:spacing w:line="276"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244" w:type="dxa"/>
            <w:vAlign w:val="center"/>
          </w:tcPr>
          <w:p>
            <w:pPr>
              <w:wordWrap w:val="0"/>
              <w:spacing w:line="276" w:lineRule="auto"/>
              <w:jc w:val="center"/>
              <w:rPr>
                <w:rFonts w:hint="eastAsia" w:ascii="宋体" w:hAnsi="宋体" w:eastAsia="宋体" w:cs="宋体"/>
                <w:sz w:val="21"/>
                <w:szCs w:val="21"/>
                <w:lang w:val="en-US" w:eastAsia="zh-CN"/>
              </w:rPr>
            </w:pPr>
            <w:r>
              <w:rPr>
                <w:rFonts w:hint="eastAsia" w:ascii="宋体" w:hAnsi="宋体" w:cs="宋体"/>
                <w:sz w:val="21"/>
                <w:szCs w:val="21"/>
              </w:rPr>
              <w:t>中资企业</w:t>
            </w:r>
          </w:p>
        </w:tc>
        <w:tc>
          <w:tcPr>
            <w:tcW w:w="2367" w:type="dxa"/>
            <w:vAlign w:val="center"/>
          </w:tcPr>
          <w:p>
            <w:pPr>
              <w:wordWrap w:val="0"/>
              <w:spacing w:line="276"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bookmarkEnd w:id="20"/>
      <w:bookmarkEnd w:id="21"/>
      <w:bookmarkEnd w:id="22"/>
      <w:bookmarkEnd w:id="23"/>
      <w:bookmarkEnd w:id="24"/>
      <w:bookmarkEnd w:id="25"/>
      <w:bookmarkEnd w:id="26"/>
    </w:tbl>
    <w:p>
      <w:pPr>
        <w:spacing w:before="156" w:beforeLines="50" w:after="156" w:afterLines="50" w:line="440" w:lineRule="exact"/>
        <w:rPr>
          <w:rFonts w:hint="eastAsia" w:ascii="宋体" w:hAnsi="宋体"/>
          <w:b/>
          <w:sz w:val="28"/>
          <w:szCs w:val="28"/>
        </w:rPr>
      </w:pPr>
      <w:r>
        <w:rPr>
          <w:rFonts w:hint="eastAsia" w:ascii="宋体" w:hAnsi="宋体"/>
          <w:b/>
          <w:sz w:val="28"/>
          <w:szCs w:val="28"/>
          <w:lang w:val="en-US" w:eastAsia="zh-CN"/>
        </w:rPr>
        <w:t>二</w:t>
      </w:r>
      <w:r>
        <w:rPr>
          <w:rFonts w:ascii="宋体" w:hAnsi="宋体"/>
          <w:b/>
          <w:sz w:val="28"/>
          <w:szCs w:val="28"/>
          <w:lang w:val="zh-CN"/>
        </w:rPr>
        <w:t>、评标方法：综合</w:t>
      </w:r>
      <w:r>
        <w:rPr>
          <w:rFonts w:hint="eastAsia" w:ascii="宋体" w:hAnsi="宋体"/>
          <w:b/>
          <w:sz w:val="28"/>
          <w:szCs w:val="28"/>
          <w:lang w:val="zh-CN"/>
        </w:rPr>
        <w:t>评审</w:t>
      </w:r>
      <w:r>
        <w:rPr>
          <w:rFonts w:ascii="宋体" w:hAnsi="宋体"/>
          <w:b/>
          <w:sz w:val="28"/>
          <w:szCs w:val="28"/>
          <w:lang w:val="zh-CN"/>
        </w:rPr>
        <w:t>法</w:t>
      </w:r>
    </w:p>
    <w:p>
      <w:pPr>
        <w:spacing w:line="360" w:lineRule="auto"/>
        <w:ind w:firstLine="480" w:firstLineChars="200"/>
        <w:rPr>
          <w:rFonts w:hint="eastAsia" w:ascii="宋体" w:hAnsi="宋体"/>
          <w:sz w:val="24"/>
          <w:lang w:val="zh-CN"/>
        </w:rPr>
      </w:pPr>
      <w:r>
        <w:rPr>
          <w:rFonts w:ascii="宋体" w:hAnsi="宋体"/>
          <w:sz w:val="24"/>
          <w:lang w:val="zh-CN"/>
        </w:rPr>
        <w:t>对所有投标人的投标文件评审，都采用相同的程序和标准。</w:t>
      </w:r>
    </w:p>
    <w:p>
      <w:pPr>
        <w:spacing w:line="360" w:lineRule="auto"/>
        <w:rPr>
          <w:rFonts w:hint="default" w:ascii="宋体" w:hAnsi="宋体" w:eastAsia="宋体"/>
          <w:sz w:val="24"/>
          <w:lang w:val="en-US" w:eastAsia="zh-CN"/>
        </w:rPr>
      </w:pPr>
      <w:r>
        <w:rPr>
          <w:rFonts w:hint="eastAsia" w:ascii="宋体" w:hAnsi="宋体"/>
          <w:sz w:val="24"/>
        </w:rPr>
        <w:t>采购评标小组成员：</w:t>
      </w:r>
      <w:r>
        <w:rPr>
          <w:rFonts w:hint="eastAsia" w:ascii="宋体" w:hAnsi="宋体"/>
          <w:sz w:val="24"/>
          <w:lang w:val="en-US" w:eastAsia="zh-CN"/>
        </w:rPr>
        <w:t>由厦门金龙联合汽车工业有限公司抽取3人、金龙联合汽车工业（苏州）有限公司抽取2人、厦门金龙旅行车有限公司抽取2人合计7人作为评标小组成员。</w:t>
      </w:r>
    </w:p>
    <w:p>
      <w:pPr>
        <w:numPr>
          <w:ilvl w:val="0"/>
          <w:numId w:val="1"/>
        </w:numPr>
        <w:spacing w:line="360" w:lineRule="auto"/>
        <w:rPr>
          <w:rFonts w:hint="eastAsia" w:ascii="宋体" w:hAnsi="宋体"/>
          <w:sz w:val="24"/>
          <w:lang w:val="zh-CN"/>
        </w:rPr>
      </w:pPr>
      <w:r>
        <w:rPr>
          <w:rFonts w:ascii="宋体" w:hAnsi="宋体"/>
          <w:sz w:val="24"/>
          <w:lang w:val="zh-CN"/>
        </w:rPr>
        <w:t>由</w:t>
      </w:r>
      <w:r>
        <w:rPr>
          <w:rFonts w:hint="eastAsia" w:ascii="宋体" w:hAnsi="宋体"/>
          <w:sz w:val="24"/>
        </w:rPr>
        <w:t>采购评标小组成员</w:t>
      </w:r>
      <w:r>
        <w:rPr>
          <w:rFonts w:ascii="宋体" w:hAnsi="宋体"/>
          <w:sz w:val="24"/>
          <w:lang w:val="zh-CN"/>
        </w:rPr>
        <w:t>根据</w:t>
      </w:r>
      <w:r>
        <w:rPr>
          <w:rFonts w:hint="eastAsia" w:ascii="宋体" w:hAnsi="宋体"/>
          <w:sz w:val="24"/>
          <w:lang w:val="zh-CN"/>
        </w:rPr>
        <w:t>招标文件</w:t>
      </w:r>
      <w:r>
        <w:rPr>
          <w:rFonts w:hint="eastAsia" w:ascii="宋体" w:hAnsi="宋体"/>
          <w:sz w:val="24"/>
        </w:rPr>
        <w:t>资格审核的</w:t>
      </w:r>
      <w:r>
        <w:rPr>
          <w:rFonts w:ascii="宋体" w:hAnsi="宋体"/>
          <w:sz w:val="24"/>
          <w:lang w:val="zh-CN"/>
        </w:rPr>
        <w:t>要求</w:t>
      </w:r>
      <w:r>
        <w:rPr>
          <w:rFonts w:hint="eastAsia" w:ascii="宋体" w:hAnsi="宋体"/>
          <w:sz w:val="24"/>
          <w:lang w:val="zh-CN"/>
        </w:rPr>
        <w:t>（</w:t>
      </w:r>
      <w:r>
        <w:rPr>
          <w:rFonts w:hint="eastAsia" w:ascii="宋体" w:hAnsi="宋体"/>
          <w:sz w:val="24"/>
        </w:rPr>
        <w:t>评审项目、内容、相关佐证材料</w:t>
      </w:r>
      <w:r>
        <w:rPr>
          <w:rFonts w:hint="eastAsia" w:ascii="宋体" w:hAnsi="宋体"/>
          <w:sz w:val="24"/>
          <w:lang w:val="zh-CN"/>
        </w:rPr>
        <w:t>）、</w:t>
      </w:r>
      <w:r>
        <w:rPr>
          <w:rFonts w:hint="eastAsia" w:ascii="宋体" w:hAnsi="宋体"/>
          <w:sz w:val="24"/>
        </w:rPr>
        <w:t>评分标准和计分方法</w:t>
      </w:r>
      <w:r>
        <w:rPr>
          <w:rFonts w:ascii="宋体" w:hAnsi="宋体"/>
          <w:sz w:val="24"/>
          <w:lang w:val="zh-CN"/>
        </w:rPr>
        <w:t>，审核</w:t>
      </w:r>
      <w:r>
        <w:rPr>
          <w:rFonts w:hint="eastAsia" w:ascii="宋体" w:hAnsi="宋体"/>
          <w:sz w:val="24"/>
        </w:rPr>
        <w:t>和评审</w:t>
      </w:r>
      <w:r>
        <w:rPr>
          <w:rFonts w:ascii="宋体" w:hAnsi="宋体"/>
          <w:sz w:val="24"/>
          <w:lang w:val="zh-CN"/>
        </w:rPr>
        <w:t>各投标文件</w:t>
      </w:r>
      <w:r>
        <w:rPr>
          <w:rFonts w:hint="eastAsia" w:ascii="宋体" w:hAnsi="宋体"/>
          <w:sz w:val="24"/>
        </w:rPr>
        <w:t>的资格审核部分</w:t>
      </w:r>
      <w:r>
        <w:rPr>
          <w:rFonts w:ascii="宋体" w:hAnsi="宋体"/>
          <w:sz w:val="24"/>
          <w:lang w:val="zh-CN"/>
        </w:rPr>
        <w:t>是否合格、有效</w:t>
      </w:r>
      <w:r>
        <w:rPr>
          <w:rFonts w:hint="eastAsia" w:ascii="宋体" w:hAnsi="宋体"/>
          <w:sz w:val="24"/>
        </w:rPr>
        <w:t>及评价审核得分</w:t>
      </w:r>
      <w:r>
        <w:rPr>
          <w:rFonts w:hint="eastAsia" w:ascii="宋体" w:hAnsi="宋体"/>
          <w:sz w:val="24"/>
          <w:lang w:val="zh-CN"/>
        </w:rPr>
        <w:t>（</w:t>
      </w:r>
      <w:r>
        <w:rPr>
          <w:rFonts w:ascii="宋体" w:hAnsi="宋体"/>
          <w:sz w:val="24"/>
          <w:lang w:val="zh-CN"/>
        </w:rPr>
        <w:t>凡不符合专业条件要求</w:t>
      </w:r>
      <w:r>
        <w:rPr>
          <w:rFonts w:hint="eastAsia" w:ascii="宋体" w:hAnsi="宋体"/>
          <w:sz w:val="24"/>
          <w:lang w:val="zh-CN"/>
        </w:rPr>
        <w:t>项</w:t>
      </w:r>
      <w:r>
        <w:rPr>
          <w:rFonts w:ascii="宋体" w:hAnsi="宋体"/>
          <w:sz w:val="24"/>
          <w:lang w:val="zh-CN"/>
        </w:rPr>
        <w:t>和未实质性响应</w:t>
      </w:r>
      <w:r>
        <w:rPr>
          <w:rFonts w:hint="eastAsia" w:ascii="宋体" w:hAnsi="宋体"/>
          <w:sz w:val="24"/>
        </w:rPr>
        <w:t>资格审核</w:t>
      </w:r>
      <w:r>
        <w:rPr>
          <w:rFonts w:hint="eastAsia" w:ascii="宋体" w:hAnsi="宋体"/>
          <w:sz w:val="24"/>
          <w:lang w:val="zh-CN"/>
        </w:rPr>
        <w:t>文件</w:t>
      </w:r>
      <w:r>
        <w:rPr>
          <w:rFonts w:ascii="宋体" w:hAnsi="宋体"/>
          <w:sz w:val="24"/>
          <w:lang w:val="zh-CN"/>
        </w:rPr>
        <w:t>要求的</w:t>
      </w:r>
      <w:r>
        <w:rPr>
          <w:rFonts w:hint="eastAsia" w:ascii="宋体" w:hAnsi="宋体"/>
          <w:sz w:val="24"/>
          <w:lang w:val="zh-CN"/>
        </w:rPr>
        <w:t>内容项</w:t>
      </w:r>
      <w:r>
        <w:rPr>
          <w:rFonts w:ascii="宋体" w:hAnsi="宋体"/>
          <w:sz w:val="24"/>
          <w:lang w:val="zh-CN"/>
        </w:rPr>
        <w:t>均不</w:t>
      </w:r>
      <w:r>
        <w:rPr>
          <w:rFonts w:hint="eastAsia" w:ascii="宋体" w:hAnsi="宋体"/>
          <w:sz w:val="24"/>
          <w:lang w:val="zh-CN"/>
        </w:rPr>
        <w:t>得分）</w:t>
      </w:r>
      <w:r>
        <w:rPr>
          <w:rFonts w:ascii="宋体" w:hAnsi="宋体"/>
          <w:sz w:val="24"/>
          <w:lang w:val="zh-CN"/>
        </w:rPr>
        <w:t>。</w:t>
      </w:r>
    </w:p>
    <w:p>
      <w:pPr>
        <w:numPr>
          <w:ilvl w:val="0"/>
          <w:numId w:val="1"/>
        </w:numPr>
        <w:spacing w:line="360" w:lineRule="auto"/>
        <w:rPr>
          <w:rFonts w:hint="eastAsia" w:ascii="宋体" w:hAnsi="宋体"/>
          <w:sz w:val="24"/>
          <w:lang w:val="zh-CN"/>
        </w:rPr>
      </w:pPr>
      <w:r>
        <w:rPr>
          <w:rFonts w:ascii="宋体" w:hAnsi="宋体"/>
          <w:sz w:val="24"/>
          <w:lang w:val="zh-CN"/>
        </w:rPr>
        <w:t>通过</w:t>
      </w:r>
      <w:r>
        <w:rPr>
          <w:rFonts w:hint="eastAsia" w:ascii="宋体" w:hAnsi="宋体"/>
          <w:sz w:val="24"/>
          <w:lang w:val="zh-CN"/>
        </w:rPr>
        <w:t>企业资格审核的应标方</w:t>
      </w:r>
      <w:r>
        <w:rPr>
          <w:rFonts w:ascii="宋体" w:hAnsi="宋体"/>
          <w:sz w:val="24"/>
          <w:lang w:val="zh-CN"/>
        </w:rPr>
        <w:t>，</w:t>
      </w:r>
      <w:r>
        <w:rPr>
          <w:rFonts w:hint="eastAsia" w:ascii="宋体" w:hAnsi="宋体"/>
          <w:sz w:val="24"/>
        </w:rPr>
        <w:t>按照供应商能力审核评审项目/评分标准的评分标准和计分方法，计算出符合资格审核得分。</w:t>
      </w:r>
    </w:p>
    <w:p>
      <w:pPr>
        <w:numPr>
          <w:ilvl w:val="0"/>
          <w:numId w:val="1"/>
        </w:numPr>
        <w:spacing w:line="360" w:lineRule="auto"/>
        <w:rPr>
          <w:rFonts w:hint="eastAsia" w:ascii="宋体" w:hAnsi="宋体"/>
          <w:sz w:val="24"/>
          <w:lang w:val="zh-CN"/>
        </w:rPr>
      </w:pPr>
      <w:r>
        <w:rPr>
          <w:rFonts w:hint="eastAsia" w:ascii="宋体" w:hAnsi="宋体"/>
          <w:sz w:val="24"/>
        </w:rPr>
        <w:t>根据商务评分标准和计分方法,对其投标报价进行商务评分和计分。</w:t>
      </w:r>
    </w:p>
    <w:p>
      <w:pPr>
        <w:numPr>
          <w:ilvl w:val="0"/>
          <w:numId w:val="1"/>
        </w:numPr>
        <w:spacing w:line="360" w:lineRule="auto"/>
        <w:rPr>
          <w:rFonts w:hint="eastAsia" w:ascii="宋体" w:hAnsi="宋体"/>
          <w:sz w:val="24"/>
          <w:lang w:val="zh-CN"/>
        </w:rPr>
      </w:pPr>
      <w:r>
        <w:rPr>
          <w:rFonts w:hint="eastAsia" w:ascii="宋体" w:hAnsi="宋体"/>
          <w:sz w:val="24"/>
        </w:rPr>
        <w:t>根据供应商能力审核的评分、商务评分的分配分值权重进行加权计算，计算出评审的最终综合评估分，并按照从高到低依次进行排名，得出评审结果。</w:t>
      </w:r>
    </w:p>
    <w:p>
      <w:pPr>
        <w:numPr>
          <w:ilvl w:val="0"/>
          <w:numId w:val="2"/>
        </w:numPr>
        <w:spacing w:line="440" w:lineRule="exact"/>
        <w:rPr>
          <w:rFonts w:hint="eastAsia" w:ascii="宋体" w:hAnsi="宋体"/>
          <w:b/>
          <w:color w:val="FF0000"/>
          <w:sz w:val="28"/>
          <w:szCs w:val="28"/>
          <w:lang w:val="zh-CN"/>
        </w:rPr>
      </w:pPr>
      <w:r>
        <w:rPr>
          <w:rFonts w:hint="eastAsia" w:ascii="宋体" w:hAnsi="宋体"/>
          <w:b/>
          <w:sz w:val="28"/>
          <w:szCs w:val="28"/>
          <w:lang w:val="zh-CN"/>
        </w:rPr>
        <w:t>评标标准</w:t>
      </w:r>
    </w:p>
    <w:p>
      <w:pPr>
        <w:spacing w:after="156" w:afterLines="50" w:line="440" w:lineRule="exact"/>
        <w:ind w:firstLine="482" w:firstLineChars="200"/>
        <w:rPr>
          <w:rFonts w:hint="default" w:ascii="宋体" w:hAnsi="宋体" w:cs="宋体"/>
          <w:b/>
          <w:sz w:val="24"/>
          <w:szCs w:val="24"/>
          <w:lang w:val="en-US" w:eastAsia="zh-CN"/>
        </w:rPr>
      </w:pPr>
      <w:r>
        <w:rPr>
          <w:rFonts w:hint="eastAsia" w:ascii="宋体" w:hAnsi="宋体" w:cs="宋体"/>
          <w:b/>
          <w:sz w:val="24"/>
          <w:szCs w:val="24"/>
          <w:lang w:val="en-US" w:eastAsia="zh-CN"/>
        </w:rPr>
        <w:t>该项目按照企业资本来源分为外资企业合同包1、中资企业合同包2进行分标段评审。</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lang w:val="zh-CN"/>
        </w:rPr>
        <w:t>供应商资格预审</w:t>
      </w:r>
    </w:p>
    <w:p>
      <w:pPr>
        <w:spacing w:after="156" w:afterLines="50" w:line="440" w:lineRule="exact"/>
        <w:ind w:firstLine="482" w:firstLineChars="200"/>
        <w:rPr>
          <w:rFonts w:hint="eastAsia" w:ascii="宋体" w:hAnsi="宋体" w:cs="宋体"/>
          <w:b/>
          <w:sz w:val="24"/>
          <w:szCs w:val="24"/>
          <w:lang w:eastAsia="zh-CN"/>
        </w:rPr>
      </w:pPr>
      <w:r>
        <w:rPr>
          <w:rFonts w:hint="eastAsia" w:ascii="宋体" w:hAnsi="宋体" w:cs="宋体"/>
          <w:b/>
          <w:sz w:val="24"/>
          <w:szCs w:val="24"/>
        </w:rPr>
        <w:t>首先按照评标程序的规定对各</w:t>
      </w:r>
      <w:r>
        <w:rPr>
          <w:rFonts w:hint="eastAsia" w:ascii="宋体" w:hAnsi="宋体" w:cs="宋体"/>
          <w:b/>
          <w:sz w:val="24"/>
          <w:szCs w:val="24"/>
          <w:lang w:val="en-US" w:eastAsia="zh-CN"/>
        </w:rPr>
        <w:t>合同包</w:t>
      </w:r>
      <w:r>
        <w:rPr>
          <w:rFonts w:hint="eastAsia" w:ascii="宋体" w:hAnsi="宋体" w:cs="宋体"/>
          <w:b/>
          <w:sz w:val="24"/>
          <w:szCs w:val="24"/>
        </w:rPr>
        <w:t>投标人的资格性以及符合性做出评审，只有资格性检查和符合性检查合格的投标文件才能进入综合评分</w:t>
      </w:r>
      <w:r>
        <w:rPr>
          <w:rFonts w:hint="eastAsia" w:ascii="宋体" w:hAnsi="宋体" w:cs="宋体"/>
          <w:b/>
          <w:sz w:val="24"/>
          <w:szCs w:val="24"/>
          <w:lang w:eastAsia="zh-CN"/>
        </w:rPr>
        <w:t>。</w:t>
      </w:r>
    </w:p>
    <w:p>
      <w:pPr>
        <w:spacing w:after="156" w:afterLines="50" w:line="440" w:lineRule="exact"/>
        <w:rPr>
          <w:rFonts w:hint="eastAsia" w:ascii="宋体" w:hAnsi="宋体" w:cs="宋体"/>
          <w:b/>
          <w:sz w:val="24"/>
          <w:szCs w:val="24"/>
          <w:lang w:val="en-US" w:eastAsia="zh-CN"/>
        </w:rPr>
      </w:pPr>
      <w:r>
        <w:rPr>
          <w:rFonts w:hint="eastAsia" w:ascii="宋体" w:hAnsi="宋体" w:cs="宋体"/>
          <w:b/>
          <w:sz w:val="24"/>
          <w:szCs w:val="24"/>
        </w:rPr>
        <w:t>见表</w:t>
      </w:r>
      <w:r>
        <w:rPr>
          <w:rFonts w:hint="eastAsia" w:ascii="宋体" w:hAnsi="宋体" w:cs="宋体"/>
          <w:b/>
          <w:sz w:val="24"/>
          <w:szCs w:val="24"/>
          <w:lang w:val="en-US" w:eastAsia="zh-CN"/>
        </w:rPr>
        <w:t>0</w:t>
      </w:r>
      <w:r>
        <w:rPr>
          <w:rFonts w:hint="eastAsia" w:ascii="宋体" w:hAnsi="宋体" w:cs="宋体"/>
          <w:b/>
          <w:sz w:val="24"/>
          <w:szCs w:val="24"/>
        </w:rPr>
        <w:t>：供应商资格预审项目</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lang w:val="zh-CN"/>
        </w:rPr>
        <w:t>供应商能力审核因素分F1（满分</w:t>
      </w:r>
      <w:r>
        <w:rPr>
          <w:rFonts w:hint="eastAsia" w:ascii="宋体" w:hAnsi="宋体" w:cs="宋体"/>
          <w:b/>
          <w:sz w:val="24"/>
          <w:szCs w:val="24"/>
          <w:lang w:val="en-US" w:eastAsia="zh-CN"/>
        </w:rPr>
        <w:t>50</w:t>
      </w:r>
      <w:r>
        <w:rPr>
          <w:rFonts w:hint="eastAsia" w:ascii="宋体" w:hAnsi="宋体" w:cs="宋体"/>
          <w:b/>
          <w:sz w:val="24"/>
          <w:szCs w:val="24"/>
          <w:lang w:val="zh-CN"/>
        </w:rPr>
        <w:t>分）</w:t>
      </w:r>
    </w:p>
    <w:p>
      <w:pPr>
        <w:spacing w:after="156" w:afterLines="50" w:line="44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供应商能力评审项目-资历Q/资质</w:t>
      </w:r>
      <w:r>
        <w:rPr>
          <w:rFonts w:hint="eastAsia" w:ascii="宋体" w:hAnsi="宋体" w:cs="宋体"/>
          <w:b/>
          <w:color w:val="auto"/>
          <w:sz w:val="24"/>
          <w:szCs w:val="24"/>
          <w:lang w:val="en-US" w:eastAsia="zh-CN"/>
        </w:rPr>
        <w:t>授权</w:t>
      </w:r>
      <w:r>
        <w:rPr>
          <w:rFonts w:hint="eastAsia" w:ascii="宋体" w:hAnsi="宋体" w:cs="宋体"/>
          <w:b/>
          <w:color w:val="auto"/>
          <w:sz w:val="24"/>
          <w:szCs w:val="24"/>
        </w:rPr>
        <w:t>A/服务S，按</w:t>
      </w:r>
      <w:r>
        <w:rPr>
          <w:rFonts w:hint="eastAsia" w:ascii="宋体" w:hAnsi="宋体" w:cs="宋体"/>
          <w:b/>
          <w:color w:val="auto"/>
          <w:sz w:val="24"/>
          <w:szCs w:val="24"/>
          <w:lang w:val="en-US" w:eastAsia="zh-CN"/>
        </w:rPr>
        <w:t>表一：供应商能力审核评审项目/评分标准</w:t>
      </w:r>
      <w:r>
        <w:rPr>
          <w:rFonts w:hint="eastAsia" w:ascii="宋体" w:hAnsi="宋体" w:cs="宋体"/>
          <w:b/>
          <w:color w:val="auto"/>
          <w:sz w:val="24"/>
          <w:szCs w:val="24"/>
        </w:rPr>
        <w:t>相应分项内容及评审分值进行评审，各分项总分均为100分，最终各分项按分配的分值权重计算汇总为供应商能力评审F1的综合得分项：</w:t>
      </w:r>
    </w:p>
    <w:p>
      <w:pPr>
        <w:spacing w:after="156" w:afterLines="50" w:line="440" w:lineRule="exact"/>
        <w:ind w:firstLine="482" w:firstLineChars="200"/>
        <w:rPr>
          <w:rFonts w:hint="eastAsia" w:ascii="宋体" w:hAnsi="宋体" w:cs="宋体"/>
          <w:b/>
          <w:color w:val="auto"/>
          <w:sz w:val="24"/>
          <w:szCs w:val="24"/>
          <w:lang w:val="zh-CN"/>
        </w:rPr>
      </w:pPr>
      <w:r>
        <w:rPr>
          <w:rFonts w:hint="eastAsia" w:ascii="宋体" w:hAnsi="宋体" w:cs="宋体"/>
          <w:b/>
          <w:color w:val="auto"/>
          <w:sz w:val="24"/>
          <w:szCs w:val="24"/>
        </w:rPr>
        <w:t>F1=Q*</w:t>
      </w:r>
      <w:r>
        <w:rPr>
          <w:rFonts w:hint="eastAsia" w:ascii="宋体" w:hAnsi="宋体" w:cs="宋体"/>
          <w:b/>
          <w:color w:val="auto"/>
          <w:sz w:val="24"/>
          <w:szCs w:val="24"/>
          <w:lang w:val="en-US" w:eastAsia="zh-CN"/>
        </w:rPr>
        <w:t>12.5</w:t>
      </w:r>
      <w:r>
        <w:rPr>
          <w:rFonts w:hint="eastAsia" w:ascii="宋体" w:hAnsi="宋体" w:cs="宋体"/>
          <w:b/>
          <w:color w:val="auto"/>
          <w:sz w:val="24"/>
          <w:szCs w:val="24"/>
        </w:rPr>
        <w:t>%+A*</w:t>
      </w:r>
      <w:r>
        <w:rPr>
          <w:rFonts w:hint="eastAsia" w:ascii="宋体" w:hAnsi="宋体" w:cs="宋体"/>
          <w:b/>
          <w:color w:val="auto"/>
          <w:sz w:val="24"/>
          <w:szCs w:val="24"/>
          <w:lang w:val="en-US" w:eastAsia="zh-CN"/>
        </w:rPr>
        <w:t>17.5</w:t>
      </w:r>
      <w:r>
        <w:rPr>
          <w:rFonts w:hint="eastAsia" w:ascii="宋体" w:hAnsi="宋体" w:cs="宋体"/>
          <w:b/>
          <w:color w:val="auto"/>
          <w:sz w:val="24"/>
          <w:szCs w:val="24"/>
        </w:rPr>
        <w:t>%+S*</w:t>
      </w:r>
      <w:r>
        <w:rPr>
          <w:rFonts w:hint="eastAsia" w:ascii="宋体" w:hAnsi="宋体" w:cs="宋体"/>
          <w:b/>
          <w:color w:val="auto"/>
          <w:sz w:val="24"/>
          <w:szCs w:val="24"/>
          <w:lang w:val="en-US" w:eastAsia="zh-CN"/>
        </w:rPr>
        <w:t>20</w:t>
      </w:r>
      <w:r>
        <w:rPr>
          <w:rFonts w:hint="eastAsia" w:ascii="宋体" w:hAnsi="宋体" w:cs="宋体"/>
          <w:b/>
          <w:color w:val="auto"/>
          <w:sz w:val="24"/>
          <w:szCs w:val="24"/>
        </w:rPr>
        <w:t>%</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0"/>
        </w:rPr>
        <w:t>商务价格</w:t>
      </w:r>
      <w:r>
        <w:rPr>
          <w:rFonts w:hint="eastAsia" w:ascii="宋体" w:hAnsi="宋体" w:cs="宋体"/>
          <w:b/>
          <w:sz w:val="24"/>
          <w:szCs w:val="20"/>
          <w:lang w:val="zh-CN"/>
        </w:rPr>
        <w:t>因素分F</w:t>
      </w:r>
      <w:r>
        <w:rPr>
          <w:rFonts w:hint="eastAsia" w:ascii="宋体" w:hAnsi="宋体" w:cs="宋体"/>
          <w:b/>
          <w:sz w:val="24"/>
          <w:szCs w:val="20"/>
        </w:rPr>
        <w:t>2</w:t>
      </w:r>
      <w:r>
        <w:rPr>
          <w:rFonts w:hint="eastAsia" w:ascii="宋体" w:hAnsi="宋体" w:cs="宋体"/>
          <w:b/>
          <w:sz w:val="24"/>
          <w:szCs w:val="20"/>
          <w:lang w:val="zh-CN"/>
        </w:rPr>
        <w:t>（满分</w:t>
      </w:r>
      <w:r>
        <w:rPr>
          <w:rFonts w:hint="eastAsia" w:ascii="宋体" w:hAnsi="宋体" w:cs="宋体"/>
          <w:b/>
          <w:sz w:val="24"/>
          <w:szCs w:val="20"/>
          <w:lang w:val="en-US" w:eastAsia="zh-CN"/>
        </w:rPr>
        <w:t>50</w:t>
      </w:r>
      <w:r>
        <w:rPr>
          <w:rFonts w:hint="eastAsia" w:ascii="宋体" w:hAnsi="宋体" w:cs="宋体"/>
          <w:b/>
          <w:sz w:val="24"/>
          <w:szCs w:val="20"/>
        </w:rPr>
        <w:t>分</w:t>
      </w:r>
      <w:r>
        <w:rPr>
          <w:rFonts w:hint="eastAsia" w:ascii="宋体" w:hAnsi="宋体" w:cs="宋体"/>
          <w:b/>
          <w:sz w:val="24"/>
          <w:szCs w:val="24"/>
          <w:lang w:val="zh-CN"/>
        </w:rPr>
        <w:t>，</w:t>
      </w:r>
      <w:r>
        <w:rPr>
          <w:rFonts w:hint="eastAsia" w:ascii="宋体" w:hAnsi="宋体" w:cs="宋体"/>
          <w:b/>
          <w:sz w:val="24"/>
          <w:szCs w:val="24"/>
          <w:lang w:val="en-US" w:eastAsia="zh-CN"/>
        </w:rPr>
        <w:t>只有能力得分不小于25分的投标人才能进入商务价格评审阶段</w:t>
      </w:r>
      <w:r>
        <w:rPr>
          <w:rFonts w:hint="eastAsia" w:ascii="宋体" w:hAnsi="宋体" w:cs="宋体"/>
          <w:b/>
          <w:sz w:val="24"/>
          <w:szCs w:val="20"/>
        </w:rPr>
        <w:t>）</w:t>
      </w:r>
    </w:p>
    <w:p>
      <w:pPr>
        <w:spacing w:after="156" w:afterLines="50" w:line="440" w:lineRule="exact"/>
        <w:rPr>
          <w:rFonts w:hint="eastAsia" w:ascii="宋体" w:hAnsi="宋体" w:cs="宋体"/>
          <w:b/>
          <w:sz w:val="24"/>
          <w:szCs w:val="24"/>
        </w:rPr>
      </w:pPr>
      <w:r>
        <w:rPr>
          <w:rFonts w:hint="eastAsia" w:ascii="宋体" w:hAnsi="宋体" w:cs="宋体"/>
          <w:b/>
          <w:sz w:val="24"/>
          <w:szCs w:val="24"/>
        </w:rPr>
        <w:t>见表二：供应商商务价格评审项目/评分标准</w:t>
      </w:r>
    </w:p>
    <w:p>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lang w:val="zh-CN"/>
        </w:rPr>
        <w:t>评标</w:t>
      </w:r>
      <w:r>
        <w:rPr>
          <w:rFonts w:hint="eastAsia" w:ascii="宋体" w:hAnsi="宋体" w:cs="宋体"/>
          <w:b/>
          <w:sz w:val="24"/>
        </w:rPr>
        <w:t>综合</w:t>
      </w:r>
      <w:r>
        <w:rPr>
          <w:rFonts w:hint="eastAsia" w:ascii="宋体" w:hAnsi="宋体" w:cs="宋体"/>
          <w:b/>
          <w:sz w:val="24"/>
          <w:lang w:val="zh-CN"/>
        </w:rPr>
        <w:t>得分汇总</w:t>
      </w:r>
    </w:p>
    <w:p>
      <w:pPr>
        <w:tabs>
          <w:tab w:val="left" w:pos="0"/>
        </w:tabs>
        <w:spacing w:line="500" w:lineRule="exact"/>
        <w:ind w:firstLine="460" w:firstLineChars="192"/>
        <w:rPr>
          <w:rFonts w:hint="eastAsia" w:ascii="宋体" w:hAnsi="宋体" w:cs="宋体"/>
          <w:b/>
          <w:sz w:val="24"/>
          <w:szCs w:val="20"/>
        </w:rPr>
      </w:pPr>
      <w:r>
        <w:rPr>
          <w:rFonts w:hint="eastAsia" w:ascii="宋体" w:hAnsi="宋体"/>
          <w:kern w:val="0"/>
          <w:sz w:val="24"/>
        </w:rPr>
        <w:t>各部分评分分值分布及评分标准如下:对评委的供应商能力部分、商务部分评分结果进行统计时，将以算术平均计算各有效投标人的能力、商务最终得分，各项分数均保留至小数点后2位数（第3位四舍五入）。</w:t>
      </w:r>
      <w:r>
        <w:rPr>
          <w:rFonts w:hint="eastAsia" w:ascii="宋体" w:hAnsi="宋体"/>
          <w:b/>
          <w:sz w:val="24"/>
        </w:rPr>
        <w:t>综合得分＝F1+ F2</w:t>
      </w:r>
    </w:p>
    <w:p>
      <w:pPr>
        <w:numPr>
          <w:ilvl w:val="0"/>
          <w:numId w:val="0"/>
        </w:numPr>
        <w:spacing w:after="156" w:afterLines="50" w:line="440" w:lineRule="exact"/>
        <w:rPr>
          <w:rFonts w:hint="eastAsia" w:ascii="宋体" w:hAnsi="宋体" w:cs="宋体"/>
          <w:b/>
          <w:sz w:val="24"/>
          <w:szCs w:val="24"/>
          <w:lang w:val="zh-CN"/>
        </w:rPr>
      </w:pPr>
      <w:r>
        <w:rPr>
          <w:rFonts w:hint="eastAsia" w:ascii="宋体" w:hAnsi="宋体" w:cs="宋体"/>
          <w:b/>
          <w:sz w:val="24"/>
          <w:lang w:val="en-US" w:eastAsia="zh-CN"/>
        </w:rPr>
        <w:t>三、</w:t>
      </w:r>
      <w:r>
        <w:rPr>
          <w:rFonts w:ascii="宋体" w:hAnsi="宋体" w:cs="宋体"/>
          <w:b/>
          <w:sz w:val="24"/>
          <w:lang w:val="zh-CN"/>
        </w:rPr>
        <w:t>推荐</w:t>
      </w:r>
      <w:r>
        <w:rPr>
          <w:rFonts w:hint="eastAsia" w:ascii="宋体" w:hAnsi="宋体" w:cs="宋体"/>
          <w:b/>
          <w:sz w:val="24"/>
          <w:lang w:val="zh-CN"/>
        </w:rPr>
        <w:t>中标候选人</w:t>
      </w:r>
      <w:r>
        <w:rPr>
          <w:rFonts w:ascii="宋体" w:hAnsi="宋体" w:cs="宋体"/>
          <w:b/>
          <w:sz w:val="24"/>
          <w:lang w:val="zh-CN"/>
        </w:rPr>
        <w:t>名单</w:t>
      </w:r>
    </w:p>
    <w:p>
      <w:pPr>
        <w:spacing w:before="156" w:beforeLines="50" w:line="360" w:lineRule="auto"/>
        <w:ind w:firstLine="420" w:firstLineChars="0"/>
        <w:rPr>
          <w:rFonts w:hint="eastAsia" w:ascii="宋体" w:hAnsi="宋体" w:cs="宋体"/>
          <w:sz w:val="24"/>
        </w:rPr>
      </w:pPr>
      <w:r>
        <w:rPr>
          <w:rFonts w:hint="eastAsia" w:ascii="宋体" w:hAnsi="宋体" w:cs="宋体"/>
          <w:sz w:val="24"/>
        </w:rPr>
        <w:t>中标候选人排列顺序。经投标文件资格审核、澄清有关问题、比较与评价评标程序后，按以下办法推荐中标候选人名单的排列顺序，按评审后综合得分由高到低顺序排列；综合得分相同的，按商务价格得分F2得分由高到低顺序排列；综合得分且商务价格得分F2相同的，按</w:t>
      </w:r>
      <w:r>
        <w:rPr>
          <w:rFonts w:hint="eastAsia" w:ascii="宋体" w:hAnsi="宋体" w:cs="宋体"/>
          <w:sz w:val="24"/>
          <w:lang w:val="en-US" w:eastAsia="zh-CN"/>
        </w:rPr>
        <w:t>投标</w:t>
      </w:r>
      <w:r>
        <w:rPr>
          <w:rFonts w:hint="eastAsia" w:ascii="宋体" w:hAnsi="宋体" w:cs="宋体"/>
          <w:sz w:val="24"/>
        </w:rPr>
        <w:t>供应商能力评审得分</w:t>
      </w:r>
      <w:r>
        <w:rPr>
          <w:rFonts w:hint="eastAsia" w:ascii="宋体" w:hAnsi="宋体" w:cs="宋体"/>
          <w:sz w:val="24"/>
          <w:lang w:val="en-US" w:eastAsia="zh-CN"/>
        </w:rPr>
        <w:t>中服务S分项</w:t>
      </w:r>
      <w:r>
        <w:rPr>
          <w:rFonts w:hint="eastAsia" w:ascii="宋体" w:hAnsi="宋体" w:cs="宋体"/>
          <w:sz w:val="24"/>
        </w:rPr>
        <w:t>得分由高到低顺序排列；若全部相同的，按投标方公司注册资本由高到低顺序排列。</w:t>
      </w:r>
    </w:p>
    <w:p>
      <w:pPr>
        <w:spacing w:before="156" w:beforeLines="50" w:line="360" w:lineRule="auto"/>
        <w:rPr>
          <w:rFonts w:hint="eastAsia" w:ascii="宋体" w:hAnsi="宋体"/>
          <w:b/>
          <w:sz w:val="28"/>
          <w:szCs w:val="28"/>
          <w:lang w:val="zh-CN"/>
        </w:rPr>
      </w:pPr>
      <w:r>
        <w:rPr>
          <w:rFonts w:hint="eastAsia" w:ascii="宋体" w:hAnsi="宋体"/>
          <w:b/>
          <w:sz w:val="28"/>
          <w:szCs w:val="28"/>
          <w:lang w:val="en-US" w:eastAsia="zh-CN"/>
        </w:rPr>
        <w:t>四</w:t>
      </w:r>
      <w:r>
        <w:rPr>
          <w:rFonts w:ascii="宋体" w:hAnsi="宋体"/>
          <w:b/>
          <w:sz w:val="28"/>
          <w:szCs w:val="28"/>
          <w:lang w:val="zh-CN"/>
        </w:rPr>
        <w:t>、定标原则：</w:t>
      </w:r>
      <w:r>
        <w:rPr>
          <w:rFonts w:hint="eastAsia" w:ascii="宋体" w:hAnsi="宋体" w:cs="宋体"/>
          <w:sz w:val="24"/>
          <w:lang w:val="en-US" w:eastAsia="zh-CN"/>
        </w:rPr>
        <w:t>合同包1</w:t>
      </w:r>
      <w:r>
        <w:rPr>
          <w:rFonts w:hint="eastAsia" w:ascii="宋体" w:hAnsi="宋体" w:cs="宋体"/>
          <w:sz w:val="24"/>
        </w:rPr>
        <w:t>标段的</w:t>
      </w:r>
      <w:r>
        <w:rPr>
          <w:rFonts w:hint="eastAsia" w:ascii="宋体" w:hAnsi="宋体" w:cs="宋体"/>
          <w:sz w:val="24"/>
          <w:lang w:val="en-US" w:eastAsia="zh-CN"/>
        </w:rPr>
        <w:t>中标家数</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4</w:t>
      </w:r>
      <w:r>
        <w:rPr>
          <w:rFonts w:ascii="宋体" w:hAnsi="宋体" w:cs="宋体"/>
          <w:b/>
          <w:sz w:val="24"/>
          <w:u w:val="single"/>
        </w:rPr>
        <w:t xml:space="preserve"> </w:t>
      </w:r>
      <w:r>
        <w:rPr>
          <w:rFonts w:ascii="宋体" w:hAnsi="宋体" w:cs="宋体"/>
          <w:sz w:val="24"/>
        </w:rPr>
        <w:t>个</w:t>
      </w:r>
      <w:r>
        <w:rPr>
          <w:rFonts w:hint="eastAsia" w:ascii="宋体" w:hAnsi="宋体" w:cs="宋体"/>
          <w:sz w:val="24"/>
          <w:lang w:eastAsia="zh-CN"/>
        </w:rPr>
        <w:t>，</w:t>
      </w:r>
      <w:r>
        <w:rPr>
          <w:rFonts w:hint="eastAsia" w:ascii="宋体" w:hAnsi="宋体" w:cs="宋体"/>
          <w:sz w:val="24"/>
          <w:lang w:val="en-US" w:eastAsia="zh-CN"/>
        </w:rPr>
        <w:t>合同包2</w:t>
      </w:r>
      <w:r>
        <w:rPr>
          <w:rFonts w:hint="eastAsia" w:ascii="宋体" w:hAnsi="宋体" w:cs="宋体"/>
          <w:sz w:val="24"/>
        </w:rPr>
        <w:t>标段的</w:t>
      </w:r>
      <w:r>
        <w:rPr>
          <w:rFonts w:hint="eastAsia" w:ascii="宋体" w:hAnsi="宋体" w:cs="宋体"/>
          <w:sz w:val="24"/>
          <w:lang w:val="en-US" w:eastAsia="zh-CN"/>
        </w:rPr>
        <w:t>中标家数</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2</w:t>
      </w:r>
      <w:r>
        <w:rPr>
          <w:rFonts w:ascii="宋体" w:hAnsi="宋体" w:cs="宋体"/>
          <w:b/>
          <w:sz w:val="24"/>
          <w:u w:val="single"/>
        </w:rPr>
        <w:t xml:space="preserve"> </w:t>
      </w:r>
      <w:r>
        <w:rPr>
          <w:rFonts w:ascii="宋体" w:hAnsi="宋体" w:cs="宋体"/>
          <w:sz w:val="24"/>
        </w:rPr>
        <w:t>个</w:t>
      </w:r>
      <w:r>
        <w:rPr>
          <w:rFonts w:ascii="宋体" w:hAnsi="宋体"/>
          <w:b/>
          <w:sz w:val="28"/>
          <w:szCs w:val="28"/>
          <w:lang w:val="zh-CN"/>
        </w:rPr>
        <w:t>。</w:t>
      </w:r>
    </w:p>
    <w:p>
      <w:pPr>
        <w:spacing w:line="360" w:lineRule="auto"/>
        <w:ind w:firstLine="482" w:firstLineChars="200"/>
        <w:rPr>
          <w:b/>
          <w:bCs/>
          <w:sz w:val="24"/>
          <w:szCs w:val="24"/>
        </w:rPr>
      </w:pPr>
      <w:r>
        <w:rPr>
          <w:rFonts w:hint="eastAsia"/>
          <w:b/>
          <w:bCs/>
          <w:sz w:val="24"/>
          <w:szCs w:val="24"/>
        </w:rPr>
        <w:t>招标方根据评标报告向需求公司提报评标结果以及应用方案，经需求公司审批后确定中标人。定标的最终解释权和自主权为招标方需求公司。</w:t>
      </w:r>
    </w:p>
    <w:p>
      <w:pPr>
        <w:spacing w:line="360" w:lineRule="auto"/>
        <w:ind w:firstLine="482" w:firstLineChars="200"/>
        <w:rPr>
          <w:b/>
          <w:bCs/>
          <w:sz w:val="24"/>
          <w:szCs w:val="24"/>
        </w:rPr>
      </w:pPr>
      <w:r>
        <w:rPr>
          <w:rFonts w:hint="eastAsia"/>
          <w:b/>
          <w:bCs/>
          <w:sz w:val="24"/>
          <w:szCs w:val="24"/>
        </w:rPr>
        <w:t>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pPr>
        <w:spacing w:line="360" w:lineRule="auto"/>
        <w:ind w:firstLine="482" w:firstLineChars="200"/>
        <w:rPr>
          <w:rFonts w:hint="eastAsia"/>
          <w:b/>
          <w:bCs/>
          <w:sz w:val="24"/>
          <w:szCs w:val="24"/>
        </w:rPr>
      </w:pPr>
      <w:r>
        <w:rPr>
          <w:rFonts w:hint="eastAsia" w:hAnsi="宋体"/>
          <w:b/>
          <w:bCs/>
          <w:sz w:val="24"/>
          <w:szCs w:val="24"/>
        </w:rPr>
        <w:t>在中标人无法通过现场审核或正常签订及履行合同的情况下，采购人有权依照中标候选人名单排序顺延其他中标候选人为中标人或者重新组织招标</w:t>
      </w:r>
      <w:r>
        <w:rPr>
          <w:rFonts w:hint="eastAsia" w:ascii="宋体" w:hAnsi="宋体" w:cs="宋体"/>
          <w:b/>
          <w:bCs/>
          <w:sz w:val="24"/>
          <w:szCs w:val="24"/>
        </w:rPr>
        <w:t>。</w:t>
      </w:r>
      <w:r>
        <w:rPr>
          <w:b/>
          <w:bCs/>
          <w:sz w:val="24"/>
          <w:szCs w:val="24"/>
        </w:rPr>
        <w:t>投标人参与本项目的投标，即视为同意上述</w:t>
      </w:r>
      <w:r>
        <w:rPr>
          <w:rFonts w:hint="eastAsia"/>
          <w:b/>
          <w:bCs/>
          <w:sz w:val="24"/>
          <w:szCs w:val="24"/>
        </w:rPr>
        <w:t>定标方式。</w:t>
      </w:r>
    </w:p>
    <w:p>
      <w:pPr>
        <w:spacing w:line="360" w:lineRule="auto"/>
        <w:rPr>
          <w:rFonts w:hint="eastAsia" w:ascii="宋体" w:hAnsi="宋体"/>
          <w:b/>
          <w:sz w:val="28"/>
          <w:szCs w:val="28"/>
          <w:lang w:val="en-US" w:eastAsia="zh-CN"/>
        </w:rPr>
      </w:pPr>
      <w:r>
        <w:rPr>
          <w:rFonts w:hint="eastAsia" w:ascii="宋体" w:hAnsi="宋体"/>
          <w:b/>
          <w:sz w:val="28"/>
          <w:szCs w:val="28"/>
          <w:lang w:val="en-US" w:eastAsia="zh-CN"/>
        </w:rPr>
        <w:t>五、招标结果应用原则：</w:t>
      </w:r>
    </w:p>
    <w:p>
      <w:pPr>
        <w:spacing w:line="360" w:lineRule="auto"/>
        <w:ind w:firstLine="482" w:firstLineChars="200"/>
        <w:rPr>
          <w:rFonts w:hint="default" w:hAnsi="宋体"/>
          <w:b/>
          <w:bCs/>
          <w:sz w:val="24"/>
          <w:szCs w:val="24"/>
          <w:lang w:val="en-US" w:eastAsia="zh-CN"/>
        </w:rPr>
      </w:pPr>
      <w:r>
        <w:rPr>
          <w:rFonts w:hint="eastAsia" w:hAnsi="宋体"/>
          <w:b/>
          <w:bCs/>
          <w:sz w:val="24"/>
          <w:szCs w:val="24"/>
          <w:lang w:val="en-US" w:eastAsia="zh-CN"/>
        </w:rPr>
        <w:t>招标人在欧标认证项目应用上遵循以下主要原则：在满足认证周期、发证渠道的认证项目需求及符合招标人认证公司管理的动态考评机制或比例调控机制前提下，外资企业根据中标排名具有承接海外高端市场欧标认证项目的优先权，中资企业根据中标排名具有承接海外其他市场欧标认证项目的优先权。</w:t>
      </w:r>
    </w:p>
    <w:p>
      <w:pPr>
        <w:spacing w:line="360" w:lineRule="auto"/>
        <w:rPr>
          <w:rFonts w:hint="eastAsia" w:ascii="宋体" w:hAnsi="宋体"/>
          <w:b/>
          <w:bCs/>
          <w:sz w:val="24"/>
          <w:szCs w:val="24"/>
        </w:rPr>
        <w:sectPr>
          <w:pgSz w:w="11906" w:h="16838"/>
          <w:pgMar w:top="1440" w:right="1800" w:bottom="1440" w:left="1800" w:header="851" w:footer="992" w:gutter="0"/>
          <w:cols w:space="425" w:num="1"/>
          <w:docGrid w:type="lines" w:linePitch="312" w:charSpace="0"/>
        </w:sectPr>
      </w:pPr>
    </w:p>
    <w:p>
      <w:pPr>
        <w:spacing w:line="360" w:lineRule="auto"/>
        <w:rPr>
          <w:rFonts w:hint="eastAsia" w:hAnsi="宋体"/>
          <w:b/>
          <w:bCs/>
          <w:sz w:val="24"/>
          <w:szCs w:val="24"/>
        </w:rPr>
      </w:pPr>
    </w:p>
    <w:p>
      <w:pPr>
        <w:ind w:left="638" w:leftChars="304" w:firstLine="0" w:firstLineChars="0"/>
        <w:rPr>
          <w:rFonts w:hint="eastAsia" w:ascii="等线" w:hAnsi="等线" w:eastAsia="等线"/>
          <w:b/>
          <w:bCs/>
        </w:rPr>
      </w:pPr>
      <w:r>
        <w:rPr>
          <w:rFonts w:hint="eastAsia" w:ascii="等线" w:hAnsi="等线" w:eastAsia="等线"/>
          <w:b/>
          <w:bCs/>
        </w:rPr>
        <w:t>表0：供应商资格预审项目</w:t>
      </w:r>
    </w:p>
    <w:tbl>
      <w:tblPr>
        <w:tblStyle w:val="11"/>
        <w:tblW w:w="9566" w:type="dxa"/>
        <w:jc w:val="center"/>
        <w:tblInd w:w="0" w:type="dxa"/>
        <w:tblLayout w:type="fixed"/>
        <w:tblCellMar>
          <w:top w:w="0" w:type="dxa"/>
          <w:left w:w="108" w:type="dxa"/>
          <w:bottom w:w="0" w:type="dxa"/>
          <w:right w:w="108" w:type="dxa"/>
        </w:tblCellMar>
      </w:tblPr>
      <w:tblGrid>
        <w:gridCol w:w="780"/>
        <w:gridCol w:w="1022"/>
        <w:gridCol w:w="2072"/>
        <w:gridCol w:w="5692"/>
      </w:tblGrid>
      <w:tr>
        <w:tblPrEx>
          <w:tblLayout w:type="fixed"/>
          <w:tblCellMar>
            <w:top w:w="0" w:type="dxa"/>
            <w:left w:w="108" w:type="dxa"/>
            <w:bottom w:w="0" w:type="dxa"/>
            <w:right w:w="108" w:type="dxa"/>
          </w:tblCellMar>
        </w:tblPrEx>
        <w:trPr>
          <w:trHeight w:val="881"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宋体"/>
                <w:b/>
                <w:bCs/>
                <w:color w:val="FF0000"/>
                <w:kern w:val="0"/>
                <w:sz w:val="24"/>
                <w:szCs w:val="24"/>
              </w:rPr>
            </w:pPr>
            <w:r>
              <w:br w:type="page"/>
            </w:r>
            <w:r>
              <w:rPr>
                <w:rFonts w:hint="eastAsia" w:ascii="宋体" w:hAnsi="宋体" w:cs="宋体"/>
                <w:b/>
                <w:bCs/>
                <w:kern w:val="0"/>
                <w:sz w:val="20"/>
              </w:rPr>
              <w:t>序号</w:t>
            </w:r>
          </w:p>
        </w:tc>
        <w:tc>
          <w:tcPr>
            <w:tcW w:w="1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评审方向</w:t>
            </w:r>
          </w:p>
        </w:tc>
        <w:tc>
          <w:tcPr>
            <w:tcW w:w="20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供应商</w:t>
            </w:r>
            <w:r>
              <w:rPr>
                <w:rFonts w:hint="eastAsia" w:ascii="宋体" w:hAnsi="宋体" w:eastAsia="宋体" w:cs="宋体"/>
                <w:b/>
                <w:bCs/>
                <w:kern w:val="0"/>
                <w:sz w:val="20"/>
                <w:lang w:val="en-US" w:eastAsia="zh-CN"/>
              </w:rPr>
              <w:t>资格</w:t>
            </w:r>
            <w:r>
              <w:rPr>
                <w:rFonts w:hint="eastAsia" w:ascii="宋体" w:hAnsi="宋体" w:eastAsia="宋体" w:cs="宋体"/>
                <w:b/>
                <w:bCs/>
                <w:kern w:val="0"/>
                <w:sz w:val="20"/>
              </w:rPr>
              <w:t>评审</w:t>
            </w:r>
          </w:p>
        </w:tc>
        <w:tc>
          <w:tcPr>
            <w:tcW w:w="56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应标供应商提交相关评审材料</w:t>
            </w:r>
          </w:p>
        </w:tc>
      </w:tr>
      <w:tr>
        <w:tblPrEx>
          <w:tblLayout w:type="fixed"/>
          <w:tblCellMar>
            <w:top w:w="0" w:type="dxa"/>
            <w:left w:w="108" w:type="dxa"/>
            <w:bottom w:w="0" w:type="dxa"/>
            <w:right w:w="108" w:type="dxa"/>
          </w:tblCellMar>
        </w:tblPrEx>
        <w:trPr>
          <w:trHeight w:val="324" w:hRule="atLeast"/>
          <w:jc w:val="center"/>
        </w:trPr>
        <w:tc>
          <w:tcPr>
            <w:tcW w:w="78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val="0"/>
                <w:bCs w:val="0"/>
                <w:color w:val="auto"/>
                <w:kern w:val="0"/>
                <w:sz w:val="20"/>
              </w:rPr>
            </w:pPr>
            <w:r>
              <w:rPr>
                <w:rFonts w:hint="eastAsia" w:ascii="宋体" w:hAnsi="宋体" w:cs="宋体"/>
                <w:b w:val="0"/>
                <w:bCs w:val="0"/>
                <w:color w:val="auto"/>
                <w:kern w:val="0"/>
                <w:sz w:val="20"/>
              </w:rPr>
              <w:t>0</w:t>
            </w:r>
          </w:p>
        </w:tc>
        <w:tc>
          <w:tcPr>
            <w:tcW w:w="1022"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r>
              <w:rPr>
                <w:rFonts w:hint="eastAsia" w:ascii="宋体" w:hAnsi="宋体" w:cs="宋体"/>
                <w:b w:val="0"/>
                <w:bCs w:val="0"/>
                <w:color w:val="auto"/>
                <w:kern w:val="0"/>
                <w:sz w:val="20"/>
              </w:rPr>
              <w:t>企业资格</w:t>
            </w:r>
          </w:p>
        </w:tc>
        <w:tc>
          <w:tcPr>
            <w:tcW w:w="2072" w:type="dxa"/>
            <w:tcBorders>
              <w:top w:val="nil"/>
              <w:left w:val="nil"/>
              <w:bottom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r>
              <w:rPr>
                <w:rFonts w:hint="eastAsia" w:ascii="宋体" w:hAnsi="宋体" w:cs="宋体"/>
                <w:b w:val="0"/>
                <w:bCs w:val="0"/>
                <w:color w:val="auto"/>
                <w:kern w:val="0"/>
                <w:sz w:val="20"/>
              </w:rPr>
              <w:t>独立承担民事责任的能力</w:t>
            </w:r>
          </w:p>
        </w:tc>
        <w:tc>
          <w:tcPr>
            <w:tcW w:w="569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20"/>
                <w:lang w:eastAsia="zh-CN"/>
              </w:rPr>
            </w:pPr>
            <w:r>
              <w:rPr>
                <w:rFonts w:hint="eastAsia" w:ascii="宋体" w:hAnsi="宋体" w:cs="宋体"/>
                <w:b w:val="0"/>
                <w:bCs w:val="0"/>
                <w:color w:val="auto"/>
                <w:kern w:val="0"/>
                <w:sz w:val="20"/>
              </w:rPr>
              <w:t>提供营业执照</w:t>
            </w:r>
          </w:p>
        </w:tc>
      </w:tr>
      <w:tr>
        <w:tblPrEx>
          <w:tblLayout w:type="fixed"/>
          <w:tblCellMar>
            <w:top w:w="0" w:type="dxa"/>
            <w:left w:w="108" w:type="dxa"/>
            <w:bottom w:w="0" w:type="dxa"/>
            <w:right w:w="108" w:type="dxa"/>
          </w:tblCellMar>
        </w:tblPrEx>
        <w:trPr>
          <w:trHeight w:val="90" w:hRule="atLeast"/>
          <w:jc w:val="center"/>
        </w:trPr>
        <w:tc>
          <w:tcPr>
            <w:tcW w:w="780"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1022"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r>
              <w:rPr>
                <w:rFonts w:hint="eastAsia" w:ascii="宋体" w:hAnsi="宋体" w:cs="宋体"/>
                <w:b w:val="0"/>
                <w:bCs w:val="0"/>
                <w:color w:val="auto"/>
                <w:kern w:val="0"/>
                <w:sz w:val="20"/>
              </w:rPr>
              <w:t>商业信誉和财务会计制度</w:t>
            </w:r>
          </w:p>
        </w:tc>
        <w:tc>
          <w:tcPr>
            <w:tcW w:w="5692"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b w:val="0"/>
                <w:bCs w:val="0"/>
                <w:color w:val="auto"/>
                <w:kern w:val="0"/>
                <w:sz w:val="20"/>
                <w:lang w:val="en-US" w:eastAsia="zh-CN"/>
              </w:rPr>
            </w:pPr>
            <w:r>
              <w:rPr>
                <w:rFonts w:hint="eastAsia" w:ascii="宋体" w:hAnsi="宋体" w:cs="宋体"/>
                <w:b w:val="0"/>
                <w:bCs w:val="0"/>
                <w:color w:val="auto"/>
                <w:kern w:val="0"/>
                <w:sz w:val="20"/>
              </w:rPr>
              <w:t>委托会计师事务所出具有效的2024年度或投标截止时间前上一季度的财务报告（</w:t>
            </w:r>
            <w:r>
              <w:rPr>
                <w:rFonts w:hint="eastAsia" w:ascii="宋体" w:hAnsi="宋体" w:cs="宋体"/>
                <w:b w:val="0"/>
                <w:bCs w:val="0"/>
                <w:color w:val="auto"/>
                <w:kern w:val="0"/>
                <w:sz w:val="20"/>
                <w:lang w:val="en-US" w:eastAsia="zh-CN"/>
              </w:rPr>
              <w:t>外资企业可提供</w:t>
            </w:r>
            <w:r>
              <w:rPr>
                <w:rFonts w:hint="eastAsia" w:ascii="宋体" w:hAnsi="宋体" w:cs="宋体"/>
                <w:b w:val="0"/>
                <w:bCs w:val="0"/>
                <w:color w:val="auto"/>
                <w:kern w:val="0"/>
                <w:sz w:val="20"/>
              </w:rPr>
              <w:t>2023年度</w:t>
            </w:r>
            <w:r>
              <w:rPr>
                <w:rFonts w:hint="eastAsia" w:ascii="宋体" w:hAnsi="宋体" w:cs="宋体"/>
                <w:b w:val="0"/>
                <w:bCs w:val="0"/>
                <w:color w:val="auto"/>
                <w:kern w:val="0"/>
                <w:sz w:val="20"/>
                <w:lang w:val="en-US" w:eastAsia="zh-CN"/>
              </w:rPr>
              <w:t>财务报告</w:t>
            </w:r>
            <w:r>
              <w:rPr>
                <w:rFonts w:hint="eastAsia" w:ascii="宋体" w:hAnsi="宋体" w:cs="宋体"/>
                <w:b w:val="0"/>
                <w:bCs w:val="0"/>
                <w:color w:val="auto"/>
                <w:kern w:val="0"/>
                <w:sz w:val="20"/>
              </w:rPr>
              <w:t>或财务审核且盖章的财务报表，包含但不限于简化版资产负债表、利润表、现金流量）</w:t>
            </w:r>
            <w:r>
              <w:rPr>
                <w:rFonts w:hint="eastAsia" w:ascii="宋体" w:hAnsi="宋体" w:cs="宋体"/>
                <w:b w:val="0"/>
                <w:bCs w:val="0"/>
                <w:color w:val="auto"/>
                <w:kern w:val="0"/>
                <w:sz w:val="20"/>
                <w:lang w:eastAsia="zh-CN"/>
              </w:rPr>
              <w:t>，</w:t>
            </w:r>
            <w:r>
              <w:rPr>
                <w:rFonts w:hint="eastAsia" w:ascii="宋体" w:hAnsi="宋体" w:cs="宋体"/>
                <w:b w:val="0"/>
                <w:bCs w:val="0"/>
                <w:color w:val="auto"/>
                <w:kern w:val="0"/>
                <w:sz w:val="20"/>
                <w:lang w:val="en-US" w:eastAsia="zh-CN"/>
              </w:rPr>
              <w:t>中资企业最近一次经第三方审计的财务报表中年营业收入不得少于2000万元。</w:t>
            </w:r>
          </w:p>
        </w:tc>
      </w:tr>
      <w:tr>
        <w:tblPrEx>
          <w:tblLayout w:type="fixed"/>
          <w:tblCellMar>
            <w:top w:w="0" w:type="dxa"/>
            <w:left w:w="108" w:type="dxa"/>
            <w:bottom w:w="0" w:type="dxa"/>
            <w:right w:w="108" w:type="dxa"/>
          </w:tblCellMar>
        </w:tblPrEx>
        <w:trPr>
          <w:trHeight w:val="90" w:hRule="atLeast"/>
          <w:jc w:val="center"/>
        </w:trPr>
        <w:tc>
          <w:tcPr>
            <w:tcW w:w="780"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1022"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20"/>
                <w:lang w:val="en-US" w:eastAsia="zh-CN"/>
              </w:rPr>
            </w:pPr>
            <w:r>
              <w:rPr>
                <w:rFonts w:hint="eastAsia" w:ascii="宋体" w:hAnsi="宋体" w:cs="宋体"/>
                <w:b w:val="0"/>
                <w:bCs w:val="0"/>
                <w:color w:val="auto"/>
                <w:kern w:val="0"/>
                <w:sz w:val="20"/>
              </w:rPr>
              <w:t>履行合同</w:t>
            </w:r>
            <w:r>
              <w:rPr>
                <w:rFonts w:hint="eastAsia" w:ascii="宋体" w:hAnsi="宋体" w:cs="宋体"/>
                <w:b w:val="0"/>
                <w:bCs w:val="0"/>
                <w:color w:val="auto"/>
                <w:kern w:val="0"/>
                <w:sz w:val="20"/>
                <w:lang w:val="en-US" w:eastAsia="zh-CN"/>
              </w:rPr>
              <w:t>能力</w:t>
            </w:r>
          </w:p>
        </w:tc>
        <w:tc>
          <w:tcPr>
            <w:tcW w:w="5692" w:type="dxa"/>
            <w:tcBorders>
              <w:top w:val="nil"/>
              <w:left w:val="nil"/>
              <w:bottom w:val="single" w:color="auto" w:sz="4" w:space="0"/>
              <w:right w:val="single" w:color="auto" w:sz="4" w:space="0"/>
            </w:tcBorders>
            <w:vAlign w:val="center"/>
          </w:tcPr>
          <w:p>
            <w:pPr>
              <w:widowControl/>
              <w:jc w:val="left"/>
              <w:rPr>
                <w:rFonts w:hint="eastAsia" w:ascii="宋体" w:hAnsi="宋体" w:cs="宋体"/>
                <w:b w:val="0"/>
                <w:bCs w:val="0"/>
                <w:color w:val="auto"/>
                <w:kern w:val="0"/>
                <w:sz w:val="20"/>
              </w:rPr>
            </w:pPr>
            <w:r>
              <w:rPr>
                <w:rFonts w:hint="eastAsia" w:ascii="宋体" w:hAnsi="宋体" w:cs="宋体"/>
                <w:b w:val="0"/>
                <w:bCs w:val="0"/>
                <w:color w:val="auto"/>
                <w:kern w:val="0"/>
                <w:sz w:val="20"/>
                <w:lang w:val="en-US" w:eastAsia="zh-CN"/>
              </w:rPr>
              <w:t>提供</w:t>
            </w:r>
            <w:r>
              <w:rPr>
                <w:rFonts w:hint="eastAsia" w:ascii="宋体" w:hAnsi="宋体" w:cs="宋体"/>
                <w:b w:val="0"/>
                <w:bCs w:val="0"/>
                <w:color w:val="auto"/>
                <w:kern w:val="0"/>
                <w:sz w:val="20"/>
              </w:rPr>
              <w:t>附件七 投标资格声明函</w:t>
            </w:r>
          </w:p>
        </w:tc>
      </w:tr>
      <w:tr>
        <w:tblPrEx>
          <w:tblLayout w:type="fixed"/>
          <w:tblCellMar>
            <w:top w:w="0" w:type="dxa"/>
            <w:left w:w="108" w:type="dxa"/>
            <w:bottom w:w="0" w:type="dxa"/>
            <w:right w:w="108" w:type="dxa"/>
          </w:tblCellMar>
        </w:tblPrEx>
        <w:trPr>
          <w:trHeight w:val="90" w:hRule="atLeast"/>
          <w:jc w:val="center"/>
        </w:trPr>
        <w:tc>
          <w:tcPr>
            <w:tcW w:w="780"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1022"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0"/>
                <w:lang w:val="en-US" w:eastAsia="zh-CN"/>
              </w:rPr>
            </w:pPr>
            <w:r>
              <w:rPr>
                <w:rFonts w:hint="eastAsia" w:ascii="宋体" w:hAnsi="宋体" w:cs="宋体"/>
                <w:b w:val="0"/>
                <w:bCs w:val="0"/>
                <w:color w:val="auto"/>
                <w:kern w:val="0"/>
                <w:sz w:val="20"/>
                <w:lang w:val="en-US" w:eastAsia="zh-CN"/>
              </w:rPr>
              <w:t>纳税记录</w:t>
            </w:r>
          </w:p>
        </w:tc>
        <w:tc>
          <w:tcPr>
            <w:tcW w:w="5692"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b w:val="0"/>
                <w:bCs w:val="0"/>
                <w:color w:val="auto"/>
                <w:kern w:val="0"/>
                <w:sz w:val="20"/>
                <w:lang w:val="en-US" w:eastAsia="zh-CN"/>
              </w:rPr>
            </w:pPr>
            <w:r>
              <w:rPr>
                <w:rFonts w:hint="eastAsia" w:ascii="宋体" w:hAnsi="宋体" w:cs="宋体"/>
                <w:b w:val="0"/>
                <w:bCs w:val="0"/>
                <w:color w:val="auto"/>
                <w:kern w:val="0"/>
                <w:sz w:val="20"/>
                <w:lang w:val="en-US" w:eastAsia="zh-CN"/>
              </w:rPr>
              <w:t>提供</w:t>
            </w:r>
            <w:r>
              <w:rPr>
                <w:rFonts w:hint="eastAsia" w:ascii="宋体" w:hAnsi="宋体" w:cs="宋体"/>
                <w:b w:val="0"/>
                <w:bCs w:val="0"/>
                <w:color w:val="auto"/>
                <w:kern w:val="0"/>
                <w:sz w:val="20"/>
              </w:rPr>
              <w:t>上一年度或上一季度的纳税证明</w:t>
            </w:r>
            <w:r>
              <w:rPr>
                <w:rFonts w:hint="eastAsia" w:ascii="宋体" w:hAnsi="宋体" w:cs="宋体"/>
                <w:b w:val="0"/>
                <w:bCs w:val="0"/>
                <w:color w:val="auto"/>
                <w:kern w:val="0"/>
                <w:sz w:val="20"/>
                <w:lang w:val="en-US" w:eastAsia="zh-CN"/>
              </w:rPr>
              <w:t>并盖章</w:t>
            </w:r>
          </w:p>
        </w:tc>
      </w:tr>
      <w:tr>
        <w:tblPrEx>
          <w:tblLayout w:type="fixed"/>
          <w:tblCellMar>
            <w:top w:w="0" w:type="dxa"/>
            <w:left w:w="108" w:type="dxa"/>
            <w:bottom w:w="0" w:type="dxa"/>
            <w:right w:w="108" w:type="dxa"/>
          </w:tblCellMar>
        </w:tblPrEx>
        <w:trPr>
          <w:trHeight w:val="90" w:hRule="atLeast"/>
          <w:jc w:val="center"/>
        </w:trPr>
        <w:tc>
          <w:tcPr>
            <w:tcW w:w="780"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1022" w:type="dxa"/>
            <w:vMerge w:val="continue"/>
            <w:tcBorders>
              <w:left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0"/>
                <w:lang w:val="en-US" w:eastAsia="zh-CN"/>
              </w:rPr>
            </w:pPr>
            <w:r>
              <w:rPr>
                <w:rFonts w:hint="eastAsia" w:ascii="宋体" w:hAnsi="宋体" w:cs="宋体"/>
                <w:b w:val="0"/>
                <w:bCs w:val="0"/>
                <w:color w:val="auto"/>
                <w:kern w:val="0"/>
                <w:sz w:val="20"/>
                <w:lang w:val="en-US" w:eastAsia="zh-CN"/>
              </w:rPr>
              <w:t>无违法经营记录</w:t>
            </w:r>
          </w:p>
        </w:tc>
        <w:tc>
          <w:tcPr>
            <w:tcW w:w="5692" w:type="dxa"/>
            <w:tcBorders>
              <w:top w:val="nil"/>
              <w:left w:val="nil"/>
              <w:bottom w:val="single" w:color="auto" w:sz="4" w:space="0"/>
              <w:right w:val="single" w:color="auto" w:sz="4" w:space="0"/>
            </w:tcBorders>
            <w:vAlign w:val="center"/>
          </w:tcPr>
          <w:p>
            <w:pPr>
              <w:widowControl/>
              <w:jc w:val="left"/>
              <w:rPr>
                <w:rFonts w:hint="eastAsia" w:ascii="宋体" w:hAnsi="宋体" w:cs="宋体"/>
                <w:b w:val="0"/>
                <w:bCs w:val="0"/>
                <w:color w:val="auto"/>
                <w:kern w:val="0"/>
                <w:sz w:val="20"/>
              </w:rPr>
            </w:pPr>
            <w:r>
              <w:rPr>
                <w:rFonts w:hint="eastAsia" w:ascii="宋体" w:hAnsi="宋体" w:cs="宋体"/>
                <w:b w:val="0"/>
                <w:bCs w:val="0"/>
                <w:color w:val="auto"/>
                <w:kern w:val="0"/>
                <w:sz w:val="20"/>
                <w:lang w:val="en-US" w:eastAsia="zh-CN"/>
              </w:rPr>
              <w:t>提供</w:t>
            </w:r>
            <w:r>
              <w:rPr>
                <w:rFonts w:hint="eastAsia" w:ascii="宋体" w:hAnsi="宋体" w:cs="宋体"/>
                <w:b w:val="0"/>
                <w:bCs w:val="0"/>
                <w:color w:val="auto"/>
                <w:kern w:val="0"/>
                <w:sz w:val="20"/>
              </w:rPr>
              <w:t>附件七 投标资格声明函</w:t>
            </w:r>
          </w:p>
        </w:tc>
      </w:tr>
      <w:tr>
        <w:tblPrEx>
          <w:tblLayout w:type="fixed"/>
          <w:tblCellMar>
            <w:top w:w="0" w:type="dxa"/>
            <w:left w:w="108" w:type="dxa"/>
            <w:bottom w:w="0" w:type="dxa"/>
            <w:right w:w="108" w:type="dxa"/>
          </w:tblCellMar>
        </w:tblPrEx>
        <w:trPr>
          <w:trHeight w:val="639" w:hRule="atLeast"/>
          <w:jc w:val="center"/>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val="0"/>
                <w:bCs w:val="0"/>
                <w:color w:val="auto"/>
                <w:kern w:val="0"/>
                <w:sz w:val="20"/>
              </w:rPr>
            </w:pPr>
          </w:p>
        </w:tc>
        <w:tc>
          <w:tcPr>
            <w:tcW w:w="10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eastAsia" w:ascii="宋体" w:hAnsi="宋体" w:cs="宋体"/>
                <w:b w:val="0"/>
                <w:bCs w:val="0"/>
                <w:color w:val="auto"/>
                <w:kern w:val="0"/>
                <w:sz w:val="20"/>
              </w:rPr>
            </w:pPr>
            <w:r>
              <w:rPr>
                <w:rFonts w:hint="eastAsia" w:ascii="宋体" w:hAnsi="宋体" w:cs="宋体"/>
                <w:b w:val="0"/>
                <w:bCs w:val="0"/>
                <w:color w:val="auto"/>
                <w:kern w:val="0"/>
                <w:sz w:val="20"/>
              </w:rPr>
              <w:t>企业注册资本</w:t>
            </w:r>
          </w:p>
        </w:tc>
        <w:tc>
          <w:tcPr>
            <w:tcW w:w="569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20"/>
                <w:lang w:eastAsia="zh-CN"/>
              </w:rPr>
            </w:pPr>
            <w:r>
              <w:rPr>
                <w:rFonts w:hint="eastAsia" w:ascii="宋体" w:hAnsi="宋体" w:cs="宋体"/>
                <w:b w:val="0"/>
                <w:bCs w:val="0"/>
                <w:color w:val="auto"/>
                <w:kern w:val="0"/>
                <w:sz w:val="20"/>
              </w:rPr>
              <w:t>提供国家企业信用信息公示系统（gsxt.gov.cn/index.html)上投标企业的盖章资料或者会计师事务所出具的验资报告</w:t>
            </w:r>
            <w:r>
              <w:rPr>
                <w:rFonts w:hint="eastAsia" w:ascii="宋体" w:hAnsi="宋体" w:cs="宋体"/>
                <w:b w:val="0"/>
                <w:bCs w:val="0"/>
                <w:color w:val="auto"/>
                <w:kern w:val="0"/>
                <w:sz w:val="20"/>
                <w:lang w:eastAsia="zh-CN"/>
              </w:rPr>
              <w:t>，外资企业注册资本不得少于500万元或等额外币</w:t>
            </w:r>
          </w:p>
        </w:tc>
      </w:tr>
      <w:tr>
        <w:tblPrEx>
          <w:tblLayout w:type="fixed"/>
          <w:tblCellMar>
            <w:top w:w="0" w:type="dxa"/>
            <w:left w:w="108" w:type="dxa"/>
            <w:bottom w:w="0" w:type="dxa"/>
            <w:right w:w="108" w:type="dxa"/>
          </w:tblCellMar>
        </w:tblPrEx>
        <w:trPr>
          <w:trHeight w:val="639" w:hRule="atLeast"/>
          <w:jc w:val="center"/>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val="0"/>
                <w:bCs w:val="0"/>
                <w:color w:val="auto"/>
                <w:kern w:val="0"/>
                <w:sz w:val="20"/>
              </w:rPr>
            </w:pPr>
          </w:p>
        </w:tc>
        <w:tc>
          <w:tcPr>
            <w:tcW w:w="10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0"/>
                <w:lang w:val="en-US" w:eastAsia="zh-CN"/>
              </w:rPr>
            </w:pPr>
            <w:r>
              <w:rPr>
                <w:rFonts w:hint="eastAsia" w:ascii="宋体" w:hAnsi="宋体" w:cs="宋体"/>
                <w:b w:val="0"/>
                <w:bCs w:val="0"/>
                <w:color w:val="auto"/>
                <w:kern w:val="0"/>
                <w:sz w:val="20"/>
                <w:lang w:val="en-US" w:eastAsia="zh-CN"/>
              </w:rPr>
              <w:t>技术服务机构资质授权</w:t>
            </w:r>
          </w:p>
        </w:tc>
        <w:tc>
          <w:tcPr>
            <w:tcW w:w="5692"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color w:val="auto"/>
                <w:kern w:val="0"/>
                <w:sz w:val="20"/>
                <w:lang w:eastAsia="zh-CN"/>
              </w:rPr>
            </w:pPr>
            <w:r>
              <w:rPr>
                <w:rFonts w:hint="eastAsia" w:ascii="宋体" w:hAnsi="宋体" w:eastAsia="宋体" w:cs="宋体"/>
                <w:b w:val="0"/>
                <w:bCs w:val="0"/>
                <w:color w:val="auto"/>
                <w:kern w:val="0"/>
                <w:sz w:val="20"/>
                <w:lang w:eastAsia="zh-CN"/>
              </w:rPr>
              <w:t>投标人或投标人所属集团、从属企业为取得欧盟发证机构的直接授权的技术服务机构，或投标方取得被授权技术服务机构的检查（inspection）转授权。可提供至少两个欧洲国家的发证授权证明，其中至少一个由E4荷兰、E9西班牙或E57圣马力诺之一出具；非直接授权到投标人或所属集团的，应提供完整的授权路径证明材料</w:t>
            </w:r>
          </w:p>
        </w:tc>
      </w:tr>
      <w:tr>
        <w:tblPrEx>
          <w:tblLayout w:type="fixed"/>
          <w:tblCellMar>
            <w:top w:w="0" w:type="dxa"/>
            <w:left w:w="108" w:type="dxa"/>
            <w:bottom w:w="0" w:type="dxa"/>
            <w:right w:w="108" w:type="dxa"/>
          </w:tblCellMar>
        </w:tblPrEx>
        <w:trPr>
          <w:trHeight w:val="477" w:hRule="atLeast"/>
          <w:jc w:val="center"/>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val="0"/>
                <w:bCs w:val="0"/>
                <w:color w:val="auto"/>
                <w:kern w:val="0"/>
                <w:sz w:val="20"/>
              </w:rPr>
            </w:pPr>
          </w:p>
        </w:tc>
        <w:tc>
          <w:tcPr>
            <w:tcW w:w="10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default" w:ascii="宋体" w:hAnsi="宋体" w:cs="宋体"/>
                <w:b w:val="0"/>
                <w:bCs w:val="0"/>
                <w:color w:val="auto"/>
                <w:kern w:val="0"/>
                <w:sz w:val="20"/>
                <w:lang w:val="en-US" w:eastAsia="zh-CN"/>
              </w:rPr>
            </w:pPr>
            <w:r>
              <w:rPr>
                <w:rFonts w:hint="eastAsia" w:ascii="宋体" w:hAnsi="宋体" w:cs="宋体"/>
                <w:b w:val="0"/>
                <w:bCs w:val="0"/>
                <w:color w:val="auto"/>
                <w:kern w:val="0"/>
                <w:sz w:val="20"/>
                <w:lang w:val="en-US" w:eastAsia="zh-CN"/>
              </w:rPr>
              <w:t>欧标认证案例</w:t>
            </w:r>
          </w:p>
        </w:tc>
        <w:tc>
          <w:tcPr>
            <w:tcW w:w="5692" w:type="dxa"/>
            <w:tcBorders>
              <w:top w:val="nil"/>
              <w:left w:val="nil"/>
              <w:bottom w:val="single" w:color="auto" w:sz="4" w:space="0"/>
              <w:right w:val="single" w:color="auto" w:sz="4" w:space="0"/>
            </w:tcBorders>
            <w:vAlign w:val="center"/>
          </w:tcPr>
          <w:p>
            <w:pPr>
              <w:widowControl/>
              <w:jc w:val="left"/>
              <w:rPr>
                <w:rFonts w:hint="eastAsia" w:ascii="宋体" w:hAnsi="宋体" w:cs="宋体"/>
                <w:b w:val="0"/>
                <w:bCs w:val="0"/>
                <w:color w:val="auto"/>
                <w:kern w:val="0"/>
                <w:sz w:val="20"/>
              </w:rPr>
            </w:pPr>
            <w:r>
              <w:rPr>
                <w:rFonts w:hint="eastAsia" w:ascii="宋体" w:hAnsi="宋体" w:cs="宋体"/>
                <w:b w:val="0"/>
                <w:bCs w:val="0"/>
                <w:color w:val="auto"/>
                <w:kern w:val="0"/>
                <w:sz w:val="20"/>
              </w:rPr>
              <w:t>提供三份签约日期在2022年1月1日及以后的国内整车制造企业的欧标认证框架协议、开口合同或车型欧盟WVTA(EU 2018/858)认证项目合同</w:t>
            </w:r>
          </w:p>
        </w:tc>
      </w:tr>
      <w:tr>
        <w:tblPrEx>
          <w:tblLayout w:type="fixed"/>
          <w:tblCellMar>
            <w:top w:w="0" w:type="dxa"/>
            <w:left w:w="108" w:type="dxa"/>
            <w:bottom w:w="0" w:type="dxa"/>
            <w:right w:w="108" w:type="dxa"/>
          </w:tblCellMar>
        </w:tblPrEx>
        <w:trPr>
          <w:trHeight w:val="174" w:hRule="atLeast"/>
          <w:jc w:val="center"/>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val="0"/>
                <w:bCs w:val="0"/>
                <w:color w:val="auto"/>
                <w:kern w:val="0"/>
                <w:sz w:val="20"/>
              </w:rPr>
            </w:pPr>
          </w:p>
        </w:tc>
        <w:tc>
          <w:tcPr>
            <w:tcW w:w="10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val="0"/>
                <w:bCs w:val="0"/>
                <w:color w:val="auto"/>
                <w:kern w:val="0"/>
                <w:sz w:val="20"/>
              </w:rPr>
            </w:pPr>
          </w:p>
        </w:tc>
        <w:tc>
          <w:tcPr>
            <w:tcW w:w="2072" w:type="dxa"/>
            <w:tcBorders>
              <w:top w:val="nil"/>
              <w:left w:val="nil"/>
              <w:bottom w:val="single" w:color="auto" w:sz="4" w:space="0"/>
              <w:right w:val="single" w:color="auto" w:sz="4" w:space="0"/>
            </w:tcBorders>
            <w:vAlign w:val="center"/>
          </w:tcPr>
          <w:p>
            <w:pPr>
              <w:widowControl/>
              <w:jc w:val="center"/>
              <w:rPr>
                <w:rFonts w:hint="default" w:ascii="宋体" w:hAnsi="宋体" w:cs="宋体"/>
                <w:b w:val="0"/>
                <w:bCs w:val="0"/>
                <w:color w:val="auto"/>
                <w:kern w:val="0"/>
                <w:sz w:val="20"/>
                <w:lang w:val="en-US" w:eastAsia="zh-CN"/>
              </w:rPr>
            </w:pPr>
            <w:r>
              <w:rPr>
                <w:rFonts w:hint="eastAsia" w:ascii="宋体" w:hAnsi="宋体" w:cs="宋体"/>
                <w:b w:val="0"/>
                <w:bCs w:val="0"/>
                <w:color w:val="auto"/>
                <w:kern w:val="0"/>
                <w:sz w:val="20"/>
                <w:lang w:val="en-US" w:eastAsia="zh-CN"/>
              </w:rPr>
              <w:t>实施能力</w:t>
            </w:r>
          </w:p>
        </w:tc>
        <w:tc>
          <w:tcPr>
            <w:tcW w:w="5692" w:type="dxa"/>
            <w:tcBorders>
              <w:top w:val="nil"/>
              <w:left w:val="nil"/>
              <w:bottom w:val="single" w:color="auto" w:sz="4" w:space="0"/>
              <w:right w:val="single" w:color="auto" w:sz="4" w:space="0"/>
            </w:tcBorders>
            <w:vAlign w:val="center"/>
          </w:tcPr>
          <w:p>
            <w:pPr>
              <w:widowControl/>
              <w:jc w:val="left"/>
              <w:rPr>
                <w:rFonts w:hint="eastAsia" w:ascii="宋体" w:hAnsi="宋体" w:cs="宋体"/>
                <w:b w:val="0"/>
                <w:bCs w:val="0"/>
                <w:color w:val="auto"/>
                <w:kern w:val="0"/>
                <w:sz w:val="20"/>
              </w:rPr>
            </w:pPr>
            <w:r>
              <w:rPr>
                <w:rFonts w:hint="eastAsia" w:ascii="宋体" w:hAnsi="宋体" w:cs="宋体"/>
                <w:b w:val="0"/>
                <w:bCs w:val="0"/>
                <w:color w:val="auto"/>
                <w:kern w:val="0"/>
                <w:sz w:val="20"/>
                <w:lang w:val="en-US" w:eastAsia="zh-CN"/>
              </w:rPr>
              <w:t>提供</w:t>
            </w:r>
            <w:r>
              <w:rPr>
                <w:rFonts w:hint="eastAsia" w:ascii="宋体" w:hAnsi="宋体" w:cs="宋体"/>
                <w:b w:val="0"/>
                <w:bCs w:val="0"/>
                <w:color w:val="auto"/>
                <w:kern w:val="0"/>
                <w:sz w:val="20"/>
              </w:rPr>
              <w:t>附件三 投标供应商情况表，自有团队中车辆欧标认证工程师数量不少于10人</w:t>
            </w:r>
          </w:p>
        </w:tc>
      </w:tr>
    </w:tbl>
    <w:p/>
    <w:p>
      <w:pPr>
        <w:ind w:left="638" w:leftChars="304" w:firstLine="0" w:firstLineChars="0"/>
        <w:rPr>
          <w:rFonts w:hint="eastAsia" w:ascii="等线" w:hAnsi="等线" w:eastAsia="等线"/>
          <w:b/>
          <w:bCs/>
        </w:rPr>
      </w:pPr>
      <w:r>
        <w:rPr>
          <w:rFonts w:hint="eastAsia"/>
        </w:rPr>
        <w:t>表一：</w:t>
      </w:r>
      <w:r>
        <w:rPr>
          <w:rFonts w:hint="eastAsia" w:ascii="等线" w:hAnsi="等线" w:eastAsia="等线"/>
          <w:b/>
          <w:bCs/>
        </w:rPr>
        <w:t>供应商能力审核评审项目/评分标准</w:t>
      </w:r>
    </w:p>
    <w:p>
      <w:pPr>
        <w:ind w:left="638" w:leftChars="304" w:firstLine="0" w:firstLineChars="0"/>
        <w:rPr>
          <w:rFonts w:hint="eastAsia" w:ascii="等线" w:hAnsi="等线" w:eastAsia="等线"/>
          <w:b/>
          <w:bCs/>
        </w:rPr>
      </w:pPr>
      <w:r>
        <w:rPr>
          <w:rFonts w:hint="eastAsia" w:ascii="等线" w:hAnsi="等线" w:eastAsia="等线"/>
          <w:b/>
          <w:bCs/>
        </w:rPr>
        <w:t>1、供应商能力部分：</w:t>
      </w:r>
    </w:p>
    <w:p>
      <w:pPr>
        <w:ind w:left="638" w:leftChars="304" w:firstLine="0" w:firstLineChars="0"/>
        <w:rPr>
          <w:rFonts w:hint="eastAsia" w:ascii="等线" w:hAnsi="等线" w:eastAsia="等线"/>
          <w:b/>
          <w:bCs/>
        </w:rPr>
      </w:pPr>
      <w:r>
        <w:rPr>
          <w:rFonts w:hint="eastAsia" w:ascii="等线" w:hAnsi="等线" w:eastAsia="等线"/>
          <w:b/>
          <w:bCs/>
        </w:rPr>
        <w:t>1.1 供应商能力评审表-资历Q分项评分标准及分数</w:t>
      </w:r>
    </w:p>
    <w:tbl>
      <w:tblPr>
        <w:tblStyle w:val="11"/>
        <w:tblW w:w="941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756"/>
        <w:gridCol w:w="4325"/>
        <w:gridCol w:w="713"/>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blHeader/>
        </w:trPr>
        <w:tc>
          <w:tcPr>
            <w:tcW w:w="717"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序号</w:t>
            </w:r>
          </w:p>
        </w:tc>
        <w:tc>
          <w:tcPr>
            <w:tcW w:w="1756"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供应商能力评审</w:t>
            </w:r>
            <w:r>
              <w:rPr>
                <w:rFonts w:hint="eastAsia" w:ascii="宋体" w:hAnsi="宋体" w:cs="宋体"/>
                <w:b/>
                <w:bCs/>
                <w:kern w:val="0"/>
                <w:sz w:val="20"/>
              </w:rPr>
              <w:br w:type="textWrapping"/>
            </w:r>
            <w:r>
              <w:rPr>
                <w:rFonts w:hint="eastAsia" w:ascii="宋体" w:hAnsi="宋体" w:cs="宋体"/>
                <w:b/>
                <w:bCs/>
                <w:kern w:val="0"/>
                <w:sz w:val="20"/>
              </w:rPr>
              <w:t>（资历Q分项）</w:t>
            </w:r>
          </w:p>
        </w:tc>
        <w:tc>
          <w:tcPr>
            <w:tcW w:w="4325"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评分标准</w:t>
            </w:r>
          </w:p>
        </w:tc>
        <w:tc>
          <w:tcPr>
            <w:tcW w:w="713"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分数</w:t>
            </w:r>
          </w:p>
        </w:tc>
        <w:tc>
          <w:tcPr>
            <w:tcW w:w="1906"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17" w:type="dxa"/>
            <w:vMerge w:val="continue"/>
            <w:vAlign w:val="center"/>
          </w:tcPr>
          <w:p>
            <w:pPr>
              <w:jc w:val="center"/>
              <w:rPr>
                <w:rFonts w:hint="eastAsia" w:ascii="宋体" w:hAnsi="宋体" w:cs="宋体"/>
                <w:b/>
                <w:bCs/>
                <w:sz w:val="20"/>
              </w:rPr>
            </w:pPr>
          </w:p>
        </w:tc>
        <w:tc>
          <w:tcPr>
            <w:tcW w:w="1756" w:type="dxa"/>
            <w:vMerge w:val="continue"/>
            <w:vAlign w:val="center"/>
          </w:tcPr>
          <w:p>
            <w:pPr>
              <w:jc w:val="center"/>
              <w:rPr>
                <w:rFonts w:hint="eastAsia" w:ascii="宋体" w:hAnsi="宋体" w:cs="宋体"/>
                <w:b/>
                <w:bCs/>
                <w:sz w:val="20"/>
              </w:rPr>
            </w:pPr>
          </w:p>
        </w:tc>
        <w:tc>
          <w:tcPr>
            <w:tcW w:w="4325" w:type="dxa"/>
            <w:vMerge w:val="continue"/>
            <w:vAlign w:val="center"/>
          </w:tcPr>
          <w:p>
            <w:pPr>
              <w:jc w:val="center"/>
              <w:rPr>
                <w:rFonts w:hint="eastAsia" w:ascii="宋体" w:hAnsi="宋体" w:cs="宋体"/>
                <w:b/>
                <w:bCs/>
                <w:sz w:val="20"/>
              </w:rPr>
            </w:pPr>
          </w:p>
        </w:tc>
        <w:tc>
          <w:tcPr>
            <w:tcW w:w="713" w:type="dxa"/>
            <w:vMerge w:val="continue"/>
            <w:vAlign w:val="center"/>
          </w:tcPr>
          <w:p>
            <w:pPr>
              <w:jc w:val="center"/>
              <w:rPr>
                <w:rFonts w:hint="eastAsia" w:ascii="宋体" w:hAnsi="宋体" w:cs="宋体"/>
                <w:b/>
                <w:bCs/>
                <w:sz w:val="20"/>
              </w:rPr>
            </w:pPr>
          </w:p>
        </w:tc>
        <w:tc>
          <w:tcPr>
            <w:tcW w:w="1906" w:type="dxa"/>
            <w:vMerge w:val="continue"/>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717" w:type="dxa"/>
            <w:vMerge w:val="continue"/>
            <w:vAlign w:val="center"/>
          </w:tcPr>
          <w:p>
            <w:pPr>
              <w:jc w:val="center"/>
              <w:rPr>
                <w:rFonts w:hint="eastAsia" w:ascii="宋体" w:hAnsi="宋体" w:cs="宋体"/>
                <w:b/>
                <w:bCs/>
                <w:sz w:val="20"/>
              </w:rPr>
            </w:pPr>
          </w:p>
        </w:tc>
        <w:tc>
          <w:tcPr>
            <w:tcW w:w="1756" w:type="dxa"/>
            <w:vMerge w:val="continue"/>
            <w:vAlign w:val="center"/>
          </w:tcPr>
          <w:p>
            <w:pPr>
              <w:jc w:val="center"/>
              <w:rPr>
                <w:rFonts w:hint="eastAsia" w:ascii="宋体" w:hAnsi="宋体" w:cs="宋体"/>
                <w:b/>
                <w:bCs/>
                <w:sz w:val="20"/>
              </w:rPr>
            </w:pPr>
          </w:p>
        </w:tc>
        <w:tc>
          <w:tcPr>
            <w:tcW w:w="4325" w:type="dxa"/>
            <w:vMerge w:val="continue"/>
            <w:vAlign w:val="center"/>
          </w:tcPr>
          <w:p>
            <w:pPr>
              <w:jc w:val="center"/>
              <w:rPr>
                <w:rFonts w:hint="eastAsia" w:ascii="宋体" w:hAnsi="宋体" w:cs="宋体"/>
                <w:b/>
                <w:bCs/>
                <w:sz w:val="20"/>
              </w:rPr>
            </w:pPr>
          </w:p>
        </w:tc>
        <w:tc>
          <w:tcPr>
            <w:tcW w:w="713" w:type="dxa"/>
            <w:vMerge w:val="continue"/>
            <w:vAlign w:val="center"/>
          </w:tcPr>
          <w:p>
            <w:pPr>
              <w:jc w:val="center"/>
              <w:rPr>
                <w:rFonts w:hint="eastAsia" w:ascii="宋体" w:hAnsi="宋体" w:cs="宋体"/>
                <w:b/>
                <w:bCs/>
                <w:sz w:val="20"/>
              </w:rPr>
            </w:pPr>
          </w:p>
        </w:tc>
        <w:tc>
          <w:tcPr>
            <w:tcW w:w="1906" w:type="dxa"/>
            <w:vMerge w:val="continue"/>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17"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1</w:t>
            </w:r>
          </w:p>
        </w:tc>
        <w:tc>
          <w:tcPr>
            <w:tcW w:w="175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业务历史</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在中国境内从事EC/ECE/EU认证业务年限6年9分，6年以上每多1年+1分，最高为20分。</w:t>
            </w:r>
          </w:p>
        </w:tc>
        <w:tc>
          <w:tcPr>
            <w:tcW w:w="713"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9-20</w:t>
            </w:r>
          </w:p>
        </w:tc>
        <w:tc>
          <w:tcPr>
            <w:tcW w:w="1906" w:type="dxa"/>
            <w:vMerge w:val="restart"/>
            <w:vAlign w:val="center"/>
          </w:tcPr>
          <w:p>
            <w:pPr>
              <w:widowControl/>
              <w:jc w:val="left"/>
              <w:textAlignment w:val="center"/>
              <w:rPr>
                <w:rFonts w:hint="eastAsia" w:ascii="宋体" w:hAnsi="宋体" w:cs="宋体"/>
                <w:b/>
                <w:bCs/>
                <w:sz w:val="16"/>
                <w:szCs w:val="16"/>
              </w:rPr>
            </w:pPr>
            <w:r>
              <w:rPr>
                <w:rFonts w:hint="eastAsia" w:ascii="宋体" w:hAnsi="宋体" w:cs="宋体"/>
                <w:b/>
                <w:bCs/>
                <w:kern w:val="0"/>
                <w:sz w:val="16"/>
                <w:szCs w:val="16"/>
              </w:rPr>
              <w:t>①提供营业执照及公司简介说明-盖章。</w:t>
            </w:r>
            <w:r>
              <w:rPr>
                <w:rFonts w:hint="eastAsia" w:ascii="宋体" w:hAnsi="宋体" w:cs="宋体"/>
                <w:b/>
                <w:bCs/>
                <w:kern w:val="0"/>
                <w:sz w:val="16"/>
                <w:szCs w:val="16"/>
              </w:rPr>
              <w:br w:type="textWrapping"/>
            </w:r>
            <w:r>
              <w:rPr>
                <w:rFonts w:hint="eastAsia" w:ascii="宋体" w:hAnsi="宋体" w:cs="宋体"/>
                <w:b/>
                <w:bCs/>
                <w:kern w:val="0"/>
                <w:sz w:val="16"/>
                <w:szCs w:val="16"/>
              </w:rPr>
              <w:t>②提供一份最早的欧标项目合作协议，根据签订日期确认业务历史。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在中国境内从事EC/ECE/EU认证业务年限5年</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8</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在中国境内从事EC/ECE/EU认证业务年限为4年</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6</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在中国境内从事EC/ECE/EU认证业务年限为3年</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4</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17"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2</w:t>
            </w:r>
          </w:p>
        </w:tc>
        <w:tc>
          <w:tcPr>
            <w:tcW w:w="175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行业地位</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总部位于欧盟境内的且在多个国家设立有认证技术服务机构（TS）分公司或控股企业的跨国企业。</w:t>
            </w:r>
          </w:p>
        </w:tc>
        <w:tc>
          <w:tcPr>
            <w:tcW w:w="713"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20</w:t>
            </w:r>
          </w:p>
        </w:tc>
        <w:tc>
          <w:tcPr>
            <w:tcW w:w="1906" w:type="dxa"/>
            <w:vMerge w:val="restart"/>
            <w:vAlign w:val="center"/>
          </w:tcPr>
          <w:p>
            <w:pPr>
              <w:widowControl/>
              <w:jc w:val="left"/>
              <w:textAlignment w:val="center"/>
              <w:rPr>
                <w:rFonts w:hint="eastAsia" w:ascii="宋体" w:hAnsi="宋体" w:cs="宋体"/>
                <w:b/>
                <w:bCs/>
                <w:sz w:val="16"/>
                <w:szCs w:val="16"/>
              </w:rPr>
            </w:pPr>
            <w:r>
              <w:rPr>
                <w:rFonts w:hint="eastAsia" w:ascii="宋体" w:hAnsi="宋体" w:cs="宋体"/>
                <w:b/>
                <w:bCs/>
                <w:kern w:val="0"/>
                <w:sz w:val="16"/>
                <w:szCs w:val="16"/>
              </w:rPr>
              <w:t>①提供与技术服务机构、驻欧盟分支的股权关系如跨国公司或控股企业的相关证明。</w:t>
            </w:r>
            <w:r>
              <w:rPr>
                <w:rFonts w:hint="eastAsia" w:ascii="宋体" w:hAnsi="宋体" w:cs="宋体"/>
                <w:b/>
                <w:bCs/>
                <w:kern w:val="0"/>
                <w:sz w:val="16"/>
                <w:szCs w:val="16"/>
              </w:rPr>
              <w:br w:type="textWrapping"/>
            </w:r>
            <w:r>
              <w:rPr>
                <w:rFonts w:hint="eastAsia" w:ascii="宋体" w:hAnsi="宋体" w:cs="宋体"/>
                <w:b/>
                <w:bCs/>
                <w:kern w:val="0"/>
                <w:sz w:val="16"/>
                <w:szCs w:val="16"/>
              </w:rPr>
              <w:t>②属于技术服务机构的应提供发证机构的相关授权文件。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外资企业总部不位于欧盟的，但在欧盟境内设立或控股有认证技术服务机构（TS）分公司</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15</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总部在中国境内，所属集团或大股东持有欧盟境内认证技术服务机构（TS）30%及以上股份。</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10</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总部在中国境内，但在欧盟境内设立分支机构或投标方大股东控股认证技术服务机构（TS）。</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5</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除以上四种情况外的其它情形</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17"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3</w:t>
            </w:r>
          </w:p>
        </w:tc>
        <w:tc>
          <w:tcPr>
            <w:tcW w:w="175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企业经营状况</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近3年平均营业额≧1亿元人民币，1亿为16分，每增加5000万+1分，最高为20分。</w:t>
            </w:r>
          </w:p>
        </w:tc>
        <w:tc>
          <w:tcPr>
            <w:tcW w:w="713"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14-20</w:t>
            </w:r>
          </w:p>
        </w:tc>
        <w:tc>
          <w:tcPr>
            <w:tcW w:w="1906" w:type="dxa"/>
            <w:vMerge w:val="restart"/>
            <w:vAlign w:val="center"/>
          </w:tcPr>
          <w:p>
            <w:pPr>
              <w:widowControl/>
              <w:jc w:val="left"/>
              <w:textAlignment w:val="center"/>
              <w:rPr>
                <w:rFonts w:hint="eastAsia" w:ascii="宋体" w:hAnsi="宋体" w:cs="宋体"/>
                <w:b/>
                <w:bCs/>
                <w:sz w:val="16"/>
                <w:szCs w:val="16"/>
              </w:rPr>
            </w:pPr>
            <w:r>
              <w:rPr>
                <w:rFonts w:hint="eastAsia" w:ascii="宋体" w:hAnsi="宋体" w:cs="宋体"/>
                <w:b/>
                <w:bCs/>
                <w:kern w:val="0"/>
                <w:sz w:val="16"/>
                <w:szCs w:val="16"/>
              </w:rPr>
              <w:t>提供近3年企业经过第三方审计的财务报表，包含但不限于（简化版资产负债表、利润表、现金流量）</w:t>
            </w:r>
            <w:r>
              <w:rPr>
                <w:rFonts w:hint="eastAsia" w:ascii="宋体" w:hAnsi="宋体" w:cs="宋体"/>
                <w:b/>
                <w:bCs/>
                <w:kern w:val="0"/>
                <w:sz w:val="16"/>
                <w:szCs w:val="16"/>
              </w:rPr>
              <w:br w:type="textWrapping"/>
            </w:r>
            <w:r>
              <w:rPr>
                <w:rFonts w:hint="eastAsia" w:ascii="宋体" w:hAnsi="宋体" w:cs="宋体"/>
                <w:b/>
                <w:bCs/>
                <w:kern w:val="0"/>
                <w:sz w:val="16"/>
                <w:szCs w:val="16"/>
              </w:rPr>
              <w:t>如2024报表未经审计无法提供，则提交2021~2023三年的。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近3年平均营业额≧5000万元人民币，5000万为9分，每增加1000万+1分。</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9-13</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近3年平均营业额≧2000万元人民币，2000万为3分，每增加500万+1分。</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3-8</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近3年平均营业额不足2000万元人民币</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717" w:type="dxa"/>
            <w:vAlign w:val="center"/>
          </w:tcPr>
          <w:p>
            <w:pPr>
              <w:widowControl/>
              <w:jc w:val="center"/>
              <w:textAlignment w:val="center"/>
              <w:rPr>
                <w:rFonts w:hint="eastAsia" w:ascii="宋体" w:hAnsi="宋体" w:cs="宋体"/>
                <w:sz w:val="20"/>
              </w:rPr>
            </w:pPr>
            <w:r>
              <w:rPr>
                <w:rFonts w:hint="eastAsia" w:ascii="宋体" w:hAnsi="宋体" w:cs="宋体"/>
                <w:kern w:val="0"/>
                <w:sz w:val="20"/>
              </w:rPr>
              <w:t>4</w:t>
            </w:r>
          </w:p>
        </w:tc>
        <w:tc>
          <w:tcPr>
            <w:tcW w:w="1756" w:type="dxa"/>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重要汽车行业客户</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4325" w:type="dxa"/>
            <w:vAlign w:val="center"/>
          </w:tcPr>
          <w:p>
            <w:pPr>
              <w:widowControl/>
              <w:textAlignment w:val="center"/>
              <w:rPr>
                <w:rFonts w:hint="eastAsia" w:ascii="宋体" w:hAnsi="宋体" w:cs="宋体"/>
                <w:kern w:val="0"/>
                <w:sz w:val="18"/>
                <w:szCs w:val="18"/>
              </w:rPr>
            </w:pPr>
            <w:r>
              <w:rPr>
                <w:rFonts w:hint="eastAsia" w:ascii="宋体" w:hAnsi="宋体" w:cs="宋体"/>
                <w:kern w:val="0"/>
                <w:sz w:val="18"/>
                <w:szCs w:val="18"/>
              </w:rPr>
              <w:t>根据提供的重要客户合同评分，本项得分最高为20。</w:t>
            </w:r>
          </w:p>
          <w:p>
            <w:pPr>
              <w:widowControl/>
              <w:textAlignment w:val="center"/>
              <w:rPr>
                <w:rFonts w:hint="eastAsia" w:ascii="宋体" w:hAnsi="宋体" w:cs="宋体"/>
                <w:kern w:val="0"/>
                <w:sz w:val="18"/>
                <w:szCs w:val="18"/>
              </w:rPr>
            </w:pPr>
            <w:r>
              <w:rPr>
                <w:rFonts w:hint="eastAsia" w:ascii="宋体" w:hAnsi="宋体" w:cs="宋体"/>
                <w:kern w:val="0"/>
                <w:sz w:val="18"/>
                <w:szCs w:val="18"/>
              </w:rPr>
              <w:t>与说明中例举的知名商用或乘用车车企业签署欧标认证协议，每个+3分。</w:t>
            </w:r>
          </w:p>
        </w:tc>
        <w:tc>
          <w:tcPr>
            <w:tcW w:w="713"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0-20</w:t>
            </w:r>
          </w:p>
        </w:tc>
        <w:tc>
          <w:tcPr>
            <w:tcW w:w="1906" w:type="dxa"/>
            <w:vAlign w:val="center"/>
          </w:tcPr>
          <w:p>
            <w:pPr>
              <w:widowControl/>
              <w:jc w:val="left"/>
              <w:textAlignment w:val="center"/>
              <w:rPr>
                <w:rFonts w:hint="eastAsia" w:ascii="宋体" w:hAnsi="宋体" w:cs="宋体"/>
                <w:b/>
                <w:bCs/>
                <w:sz w:val="16"/>
                <w:szCs w:val="16"/>
              </w:rPr>
            </w:pPr>
            <w:r>
              <w:rPr>
                <w:rFonts w:hint="eastAsia" w:ascii="宋体" w:hAnsi="宋体" w:cs="宋体"/>
                <w:b/>
                <w:bCs/>
                <w:kern w:val="0"/>
                <w:sz w:val="16"/>
                <w:szCs w:val="16"/>
              </w:rPr>
              <w:t>①提供与国内重要客户的欧标EC/ECE/EU认证合同，只含检验项目的合同除外，签署日期必须为2022年及以后，脱敏后仍需保留符合判定条件的关键信息。</w:t>
            </w:r>
            <w:r>
              <w:rPr>
                <w:rFonts w:hint="eastAsia" w:ascii="宋体" w:hAnsi="宋体" w:cs="宋体"/>
                <w:b/>
                <w:bCs/>
                <w:kern w:val="0"/>
                <w:sz w:val="16"/>
                <w:szCs w:val="16"/>
              </w:rPr>
              <w:br w:type="textWrapping"/>
            </w:r>
            <w:r>
              <w:rPr>
                <w:rFonts w:hint="eastAsia" w:ascii="宋体" w:hAnsi="宋体" w:cs="宋体"/>
                <w:b/>
                <w:bCs/>
                <w:kern w:val="0"/>
                <w:sz w:val="16"/>
                <w:szCs w:val="16"/>
              </w:rPr>
              <w:t>②知名商用车企业：</w:t>
            </w:r>
            <w:r>
              <w:rPr>
                <w:rFonts w:hint="eastAsia" w:ascii="宋体" w:hAnsi="宋体" w:cs="宋体"/>
                <w:b/>
                <w:bCs/>
                <w:kern w:val="0"/>
                <w:sz w:val="16"/>
                <w:szCs w:val="16"/>
              </w:rPr>
              <w:br w:type="textWrapping"/>
            </w:r>
            <w:r>
              <w:rPr>
                <w:rFonts w:hint="eastAsia" w:ascii="宋体" w:hAnsi="宋体" w:cs="宋体"/>
                <w:b/>
                <w:bCs/>
                <w:kern w:val="0"/>
                <w:sz w:val="16"/>
                <w:szCs w:val="16"/>
              </w:rPr>
              <w:t>宇通、金龙联合、厦门金旅、苏州金龙、中通、比亚迪、福田、东风、江淮、中国重汽、一汽</w:t>
            </w:r>
            <w:r>
              <w:rPr>
                <w:rFonts w:hint="eastAsia" w:ascii="宋体" w:hAnsi="宋体" w:cs="宋体"/>
                <w:b/>
                <w:bCs/>
                <w:kern w:val="0"/>
                <w:sz w:val="16"/>
                <w:szCs w:val="16"/>
              </w:rPr>
              <w:br w:type="textWrapping"/>
            </w:r>
            <w:r>
              <w:rPr>
                <w:rFonts w:hint="eastAsia" w:ascii="宋体" w:hAnsi="宋体" w:cs="宋体"/>
                <w:b/>
                <w:bCs/>
                <w:kern w:val="0"/>
                <w:sz w:val="16"/>
                <w:szCs w:val="16"/>
              </w:rPr>
              <w:t>知名乘用车企业：</w:t>
            </w:r>
            <w:r>
              <w:rPr>
                <w:rFonts w:hint="eastAsia" w:ascii="宋体" w:hAnsi="宋体" w:cs="宋体"/>
                <w:b/>
                <w:bCs/>
                <w:kern w:val="0"/>
                <w:sz w:val="16"/>
                <w:szCs w:val="16"/>
              </w:rPr>
              <w:br w:type="textWrapping"/>
            </w:r>
            <w:r>
              <w:rPr>
                <w:rFonts w:hint="eastAsia" w:ascii="宋体" w:hAnsi="宋体" w:cs="宋体"/>
                <w:b/>
                <w:bCs/>
                <w:kern w:val="0"/>
                <w:sz w:val="16"/>
                <w:szCs w:val="16"/>
              </w:rPr>
              <w:t>比亚迪、哈弗、吉利、长安、蔚来、理想、长城、一汽、小鹏、广汽、东风、上汽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717"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5</w:t>
            </w:r>
          </w:p>
        </w:tc>
        <w:tc>
          <w:tcPr>
            <w:tcW w:w="175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认证工程师资历</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认证技术负责人资历≧8年，且资深认证工程师数量≧7。数量为7时为12分，7个以上每多1个+2分，最高为20分。</w:t>
            </w:r>
          </w:p>
        </w:tc>
        <w:tc>
          <w:tcPr>
            <w:tcW w:w="713"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12-20</w:t>
            </w:r>
          </w:p>
        </w:tc>
        <w:tc>
          <w:tcPr>
            <w:tcW w:w="1906" w:type="dxa"/>
            <w:vMerge w:val="restart"/>
            <w:vAlign w:val="center"/>
          </w:tcPr>
          <w:p>
            <w:pPr>
              <w:widowControl/>
              <w:jc w:val="left"/>
              <w:textAlignment w:val="center"/>
              <w:rPr>
                <w:rFonts w:hint="eastAsia" w:ascii="宋体" w:hAnsi="宋体" w:cs="宋体"/>
                <w:b/>
                <w:bCs/>
                <w:sz w:val="16"/>
                <w:szCs w:val="16"/>
              </w:rPr>
            </w:pPr>
            <w:r>
              <w:rPr>
                <w:rFonts w:hint="eastAsia" w:ascii="宋体" w:hAnsi="宋体" w:cs="宋体"/>
                <w:b/>
                <w:bCs/>
                <w:kern w:val="0"/>
                <w:sz w:val="16"/>
                <w:szCs w:val="16"/>
              </w:rPr>
              <w:t>提供认证技术负责人（技术总监）以及所有资深认证工程师（从事认证业务5年以上）的简历，简历中应展示从事EC/ECE/EU认证业务的起止时间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认证技术负责人资历不足8年，或资深认证工程师数量≧2。数量为2时得3分，2个以上每多1个+1分，最高为11分。</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3-11</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17" w:type="dxa"/>
            <w:vMerge w:val="continue"/>
            <w:vAlign w:val="center"/>
          </w:tcPr>
          <w:p>
            <w:pPr>
              <w:jc w:val="center"/>
              <w:rPr>
                <w:rFonts w:hint="eastAsia" w:ascii="宋体" w:hAnsi="宋体" w:cs="宋体"/>
                <w:sz w:val="20"/>
              </w:rPr>
            </w:pPr>
          </w:p>
        </w:tc>
        <w:tc>
          <w:tcPr>
            <w:tcW w:w="1756" w:type="dxa"/>
            <w:vMerge w:val="continue"/>
            <w:vAlign w:val="center"/>
          </w:tcPr>
          <w:p>
            <w:pPr>
              <w:jc w:val="center"/>
              <w:rPr>
                <w:rFonts w:hint="eastAsia" w:ascii="宋体" w:hAnsi="宋体" w:cs="宋体"/>
                <w:sz w:val="18"/>
                <w:szCs w:val="18"/>
              </w:rPr>
            </w:pPr>
          </w:p>
        </w:tc>
        <w:tc>
          <w:tcPr>
            <w:tcW w:w="4325"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其他情况</w:t>
            </w:r>
          </w:p>
        </w:tc>
        <w:tc>
          <w:tcPr>
            <w:tcW w:w="713"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w:t>
            </w:r>
          </w:p>
        </w:tc>
        <w:tc>
          <w:tcPr>
            <w:tcW w:w="1906" w:type="dxa"/>
            <w:vMerge w:val="continue"/>
            <w:vAlign w:val="center"/>
          </w:tcPr>
          <w:p>
            <w:pPr>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511" w:type="dxa"/>
            <w:gridSpan w:val="4"/>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rPr>
              <w:t>评分小计（Q）（满分100分，权重12.5%）</w:t>
            </w:r>
          </w:p>
        </w:tc>
        <w:tc>
          <w:tcPr>
            <w:tcW w:w="1906" w:type="dxa"/>
            <w:vAlign w:val="center"/>
          </w:tcPr>
          <w:p>
            <w:pPr>
              <w:jc w:val="left"/>
              <w:rPr>
                <w:rFonts w:hint="eastAsia" w:ascii="宋体" w:hAnsi="宋体" w:cs="宋体"/>
                <w:b/>
                <w:bCs/>
                <w:sz w:val="16"/>
                <w:szCs w:val="16"/>
              </w:rPr>
            </w:pPr>
          </w:p>
        </w:tc>
      </w:tr>
    </w:tbl>
    <w:p>
      <w:pPr>
        <w:rPr>
          <w:rFonts w:hint="eastAsia" w:ascii="宋体" w:hAnsi="宋体" w:cs="宋体"/>
          <w:b/>
          <w:bCs/>
          <w:color w:val="000000"/>
          <w:kern w:val="0"/>
          <w:sz w:val="24"/>
        </w:rPr>
      </w:pPr>
    </w:p>
    <w:p>
      <w:pPr>
        <w:ind w:left="638" w:leftChars="304" w:firstLine="0" w:firstLineChars="0"/>
        <w:rPr>
          <w:rFonts w:hint="eastAsia" w:ascii="等线" w:hAnsi="等线" w:eastAsia="等线"/>
          <w:b/>
          <w:bCs/>
        </w:rPr>
      </w:pPr>
      <w:r>
        <w:rPr>
          <w:rFonts w:hint="eastAsia" w:ascii="等线" w:hAnsi="等线" w:eastAsia="等线"/>
          <w:b/>
          <w:bCs/>
        </w:rPr>
        <w:t>1.2 供应商能力评审表-资质授权A分项评分标准及分数</w:t>
      </w:r>
    </w:p>
    <w:tbl>
      <w:tblPr>
        <w:tblStyle w:val="11"/>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26"/>
        <w:gridCol w:w="3833"/>
        <w:gridCol w:w="900"/>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5"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序号</w:t>
            </w:r>
          </w:p>
        </w:tc>
        <w:tc>
          <w:tcPr>
            <w:tcW w:w="1626"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供应商能力评审</w:t>
            </w:r>
            <w:r>
              <w:rPr>
                <w:rFonts w:hint="eastAsia" w:ascii="宋体" w:hAnsi="宋体" w:cs="宋体"/>
                <w:b/>
                <w:bCs/>
                <w:kern w:val="0"/>
                <w:sz w:val="20"/>
              </w:rPr>
              <w:br w:type="textWrapping"/>
            </w:r>
            <w:r>
              <w:rPr>
                <w:rFonts w:hint="eastAsia" w:ascii="宋体" w:hAnsi="宋体" w:cs="宋体"/>
                <w:b/>
                <w:bCs/>
                <w:kern w:val="0"/>
                <w:sz w:val="20"/>
              </w:rPr>
              <w:t>（资质A分项）</w:t>
            </w:r>
          </w:p>
        </w:tc>
        <w:tc>
          <w:tcPr>
            <w:tcW w:w="3833"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评分标准</w:t>
            </w:r>
          </w:p>
        </w:tc>
        <w:tc>
          <w:tcPr>
            <w:tcW w:w="900"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分数</w:t>
            </w:r>
          </w:p>
        </w:tc>
        <w:tc>
          <w:tcPr>
            <w:tcW w:w="2424" w:type="dxa"/>
            <w:vMerge w:val="restart"/>
            <w:vAlign w:val="center"/>
          </w:tcPr>
          <w:p>
            <w:pPr>
              <w:widowControl/>
              <w:jc w:val="center"/>
              <w:textAlignment w:val="center"/>
              <w:rPr>
                <w:rFonts w:hint="eastAsia" w:ascii="宋体" w:hAnsi="宋体" w:cs="宋体"/>
                <w:b/>
                <w:bCs/>
                <w:sz w:val="20"/>
              </w:rPr>
            </w:pPr>
            <w:r>
              <w:rPr>
                <w:rFonts w:hint="eastAsia" w:ascii="宋体" w:hAnsi="宋体" w:cs="宋体"/>
                <w:b/>
                <w:bCs/>
                <w:kern w:val="0"/>
                <w:sz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15" w:type="dxa"/>
            <w:vMerge w:val="continue"/>
            <w:vAlign w:val="center"/>
          </w:tcPr>
          <w:p>
            <w:pPr>
              <w:jc w:val="center"/>
              <w:rPr>
                <w:rFonts w:hint="eastAsia" w:ascii="宋体" w:hAnsi="宋体" w:cs="宋体"/>
                <w:b/>
                <w:bCs/>
                <w:sz w:val="20"/>
              </w:rPr>
            </w:pPr>
          </w:p>
        </w:tc>
        <w:tc>
          <w:tcPr>
            <w:tcW w:w="1626" w:type="dxa"/>
            <w:vMerge w:val="continue"/>
            <w:vAlign w:val="center"/>
          </w:tcPr>
          <w:p>
            <w:pPr>
              <w:jc w:val="center"/>
              <w:rPr>
                <w:rFonts w:hint="eastAsia" w:ascii="宋体" w:hAnsi="宋体" w:cs="宋体"/>
                <w:b/>
                <w:bCs/>
                <w:sz w:val="20"/>
              </w:rPr>
            </w:pPr>
          </w:p>
        </w:tc>
        <w:tc>
          <w:tcPr>
            <w:tcW w:w="3833" w:type="dxa"/>
            <w:vMerge w:val="continue"/>
            <w:vAlign w:val="center"/>
          </w:tcPr>
          <w:p>
            <w:pPr>
              <w:jc w:val="center"/>
              <w:rPr>
                <w:rFonts w:hint="eastAsia" w:ascii="宋体" w:hAnsi="宋体" w:cs="宋体"/>
                <w:b/>
                <w:bCs/>
                <w:sz w:val="20"/>
              </w:rPr>
            </w:pPr>
          </w:p>
        </w:tc>
        <w:tc>
          <w:tcPr>
            <w:tcW w:w="900" w:type="dxa"/>
            <w:vMerge w:val="continue"/>
            <w:vAlign w:val="center"/>
          </w:tcPr>
          <w:p>
            <w:pPr>
              <w:jc w:val="center"/>
              <w:rPr>
                <w:rFonts w:hint="eastAsia" w:ascii="宋体" w:hAnsi="宋体" w:cs="宋体"/>
                <w:b/>
                <w:bCs/>
                <w:sz w:val="20"/>
              </w:rPr>
            </w:pPr>
          </w:p>
        </w:tc>
        <w:tc>
          <w:tcPr>
            <w:tcW w:w="2424" w:type="dxa"/>
            <w:vMerge w:val="continue"/>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15" w:type="dxa"/>
            <w:vMerge w:val="continue"/>
            <w:vAlign w:val="center"/>
          </w:tcPr>
          <w:p>
            <w:pPr>
              <w:jc w:val="center"/>
              <w:rPr>
                <w:rFonts w:hint="eastAsia" w:ascii="宋体" w:hAnsi="宋体" w:cs="宋体"/>
                <w:b/>
                <w:bCs/>
                <w:sz w:val="20"/>
              </w:rPr>
            </w:pPr>
          </w:p>
        </w:tc>
        <w:tc>
          <w:tcPr>
            <w:tcW w:w="1626" w:type="dxa"/>
            <w:vMerge w:val="continue"/>
            <w:vAlign w:val="center"/>
          </w:tcPr>
          <w:p>
            <w:pPr>
              <w:jc w:val="center"/>
              <w:rPr>
                <w:rFonts w:hint="eastAsia" w:ascii="宋体" w:hAnsi="宋体" w:cs="宋体"/>
                <w:b/>
                <w:bCs/>
                <w:sz w:val="20"/>
              </w:rPr>
            </w:pPr>
          </w:p>
        </w:tc>
        <w:tc>
          <w:tcPr>
            <w:tcW w:w="3833" w:type="dxa"/>
            <w:vMerge w:val="continue"/>
            <w:vAlign w:val="center"/>
          </w:tcPr>
          <w:p>
            <w:pPr>
              <w:jc w:val="center"/>
              <w:rPr>
                <w:rFonts w:hint="eastAsia" w:ascii="宋体" w:hAnsi="宋体" w:cs="宋体"/>
                <w:b/>
                <w:bCs/>
                <w:sz w:val="20"/>
              </w:rPr>
            </w:pPr>
          </w:p>
        </w:tc>
        <w:tc>
          <w:tcPr>
            <w:tcW w:w="900" w:type="dxa"/>
            <w:vMerge w:val="continue"/>
            <w:vAlign w:val="center"/>
          </w:tcPr>
          <w:p>
            <w:pPr>
              <w:jc w:val="center"/>
              <w:rPr>
                <w:rFonts w:hint="eastAsia" w:ascii="宋体" w:hAnsi="宋体" w:cs="宋体"/>
                <w:b/>
                <w:bCs/>
                <w:sz w:val="20"/>
              </w:rPr>
            </w:pPr>
          </w:p>
        </w:tc>
        <w:tc>
          <w:tcPr>
            <w:tcW w:w="2424" w:type="dxa"/>
            <w:vMerge w:val="continue"/>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15"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1</w:t>
            </w:r>
          </w:p>
        </w:tc>
        <w:tc>
          <w:tcPr>
            <w:tcW w:w="162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商务报价对应发证机构授权（30分）</w:t>
            </w:r>
          </w:p>
        </w:tc>
        <w:tc>
          <w:tcPr>
            <w:tcW w:w="3833" w:type="dxa"/>
            <w:vAlign w:val="center"/>
          </w:tcPr>
          <w:p>
            <w:pPr>
              <w:widowControl/>
              <w:textAlignment w:val="center"/>
              <w:rPr>
                <w:rFonts w:hint="eastAsia" w:ascii="宋体" w:hAnsi="宋体" w:cs="宋体"/>
                <w:kern w:val="0"/>
                <w:sz w:val="18"/>
                <w:szCs w:val="18"/>
              </w:rPr>
            </w:pPr>
            <w:r>
              <w:rPr>
                <w:rFonts w:hint="eastAsia" w:ascii="宋体" w:hAnsi="宋体" w:cs="宋体"/>
                <w:kern w:val="0"/>
                <w:sz w:val="18"/>
                <w:szCs w:val="18"/>
              </w:rPr>
              <w:t>报价包含两个及以上发证机构，根据发证机构授权证明材料评分，最高得分不超过30分。</w:t>
            </w:r>
          </w:p>
          <w:p>
            <w:pPr>
              <w:widowControl/>
              <w:textAlignment w:val="center"/>
              <w:rPr>
                <w:rFonts w:hint="eastAsia" w:ascii="宋体" w:hAnsi="宋体" w:cs="宋体"/>
                <w:kern w:val="0"/>
                <w:sz w:val="18"/>
                <w:szCs w:val="18"/>
              </w:rPr>
            </w:pPr>
            <w:r>
              <w:rPr>
                <w:rFonts w:hint="eastAsia" w:ascii="宋体" w:hAnsi="宋体" w:cs="宋体"/>
                <w:kern w:val="0"/>
                <w:sz w:val="18"/>
                <w:szCs w:val="18"/>
              </w:rPr>
              <w:t>发证机构为E4(荷兰)、E5(瑞典)、E9(西班牙)，每个+12分；</w:t>
            </w:r>
          </w:p>
          <w:p>
            <w:pPr>
              <w:widowControl/>
              <w:textAlignment w:val="center"/>
              <w:rPr>
                <w:rFonts w:hint="eastAsia" w:ascii="宋体" w:hAnsi="宋体" w:cs="宋体"/>
                <w:kern w:val="0"/>
                <w:sz w:val="18"/>
                <w:szCs w:val="18"/>
              </w:rPr>
            </w:pPr>
            <w:r>
              <w:rPr>
                <w:rFonts w:hint="eastAsia" w:ascii="宋体" w:hAnsi="宋体" w:cs="宋体"/>
                <w:kern w:val="0"/>
                <w:sz w:val="18"/>
                <w:szCs w:val="18"/>
              </w:rPr>
              <w:t>发证机构为E57(圣马力诺)，每个+8分；</w:t>
            </w:r>
          </w:p>
          <w:p>
            <w:pPr>
              <w:widowControl/>
              <w:textAlignment w:val="center"/>
              <w:rPr>
                <w:rFonts w:hint="eastAsia" w:ascii="宋体" w:hAnsi="宋体" w:cs="宋体"/>
                <w:sz w:val="18"/>
                <w:szCs w:val="18"/>
              </w:rPr>
            </w:pPr>
            <w:r>
              <w:rPr>
                <w:rFonts w:hint="eastAsia" w:ascii="宋体" w:hAnsi="宋体" w:cs="宋体"/>
                <w:kern w:val="0"/>
                <w:sz w:val="18"/>
                <w:szCs w:val="18"/>
              </w:rPr>
              <w:t>其他欧盟成员国发证机构（非欧盟成员国不得分）每个+5分。</w:t>
            </w:r>
          </w:p>
        </w:tc>
        <w:tc>
          <w:tcPr>
            <w:tcW w:w="900"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8-30</w:t>
            </w:r>
          </w:p>
        </w:tc>
        <w:tc>
          <w:tcPr>
            <w:tcW w:w="2424" w:type="dxa"/>
            <w:vMerge w:val="restart"/>
            <w:vAlign w:val="center"/>
          </w:tcPr>
          <w:p>
            <w:pPr>
              <w:widowControl/>
              <w:jc w:val="left"/>
              <w:textAlignment w:val="center"/>
              <w:rPr>
                <w:rFonts w:hint="eastAsia" w:ascii="宋体" w:hAnsi="宋体" w:cs="宋体"/>
                <w:sz w:val="16"/>
                <w:szCs w:val="16"/>
              </w:rPr>
            </w:pPr>
            <w:r>
              <w:rPr>
                <w:rStyle w:val="23"/>
                <w:rFonts w:hint="default" w:ascii="宋体" w:hAnsi="宋体" w:eastAsia="宋体" w:cs="宋体"/>
                <w:color w:val="auto"/>
              </w:rPr>
              <w:t>提供</w:t>
            </w:r>
            <w:r>
              <w:rPr>
                <w:rStyle w:val="24"/>
                <w:rFonts w:hint="default" w:ascii="宋体" w:hAnsi="宋体" w:eastAsia="宋体" w:cs="宋体"/>
                <w:color w:val="auto"/>
              </w:rPr>
              <w:t>商务报价</w:t>
            </w:r>
            <w:r>
              <w:rPr>
                <w:rStyle w:val="23"/>
                <w:rFonts w:hint="default" w:ascii="宋体" w:hAnsi="宋体" w:eastAsia="宋体" w:cs="宋体"/>
                <w:color w:val="auto"/>
              </w:rPr>
              <w:t>中所有对应发证机构的技术服务机构授权证明。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报价仅有一个发证机构</w:t>
            </w:r>
          </w:p>
        </w:tc>
        <w:tc>
          <w:tcPr>
            <w:tcW w:w="900"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8"/>
                <w:szCs w:val="18"/>
              </w:rPr>
              <w:t>0</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15"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2</w:t>
            </w:r>
          </w:p>
        </w:tc>
        <w:tc>
          <w:tcPr>
            <w:tcW w:w="162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资质授权完整性（30分）</w:t>
            </w:r>
          </w:p>
        </w:tc>
        <w:tc>
          <w:tcPr>
            <w:tcW w:w="3833" w:type="dxa"/>
            <w:vAlign w:val="center"/>
          </w:tcPr>
          <w:p>
            <w:pPr>
              <w:widowControl/>
              <w:textAlignment w:val="center"/>
              <w:rPr>
                <w:rFonts w:hint="eastAsia" w:ascii="宋体" w:hAnsi="宋体" w:cs="宋体"/>
                <w:sz w:val="18"/>
                <w:szCs w:val="18"/>
              </w:rPr>
            </w:pPr>
            <w:r>
              <w:rPr>
                <w:rFonts w:hint="eastAsia" w:ascii="宋体" w:hAnsi="宋体" w:cs="宋体"/>
                <w:b/>
                <w:bCs/>
                <w:kern w:val="0"/>
                <w:sz w:val="18"/>
                <w:szCs w:val="18"/>
              </w:rPr>
              <w:t>否决项：</w:t>
            </w:r>
            <w:r>
              <w:rPr>
                <w:rFonts w:hint="eastAsia" w:ascii="宋体" w:hAnsi="宋体" w:cs="宋体"/>
                <w:kern w:val="0"/>
                <w:sz w:val="18"/>
                <w:szCs w:val="18"/>
              </w:rPr>
              <w:t>授权方案书有授权的数量占比未超过报价需求项目数量的90%</w:t>
            </w:r>
          </w:p>
        </w:tc>
        <w:tc>
          <w:tcPr>
            <w:tcW w:w="900"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-100</w:t>
            </w:r>
          </w:p>
        </w:tc>
        <w:tc>
          <w:tcPr>
            <w:tcW w:w="2424" w:type="dxa"/>
            <w:vMerge w:val="restart"/>
            <w:vAlign w:val="center"/>
          </w:tcPr>
          <w:p>
            <w:pPr>
              <w:widowControl/>
              <w:jc w:val="left"/>
              <w:textAlignment w:val="center"/>
              <w:rPr>
                <w:rFonts w:hint="eastAsia" w:ascii="宋体" w:hAnsi="宋体" w:cs="宋体"/>
                <w:sz w:val="16"/>
                <w:szCs w:val="16"/>
              </w:rPr>
            </w:pPr>
            <w:r>
              <w:rPr>
                <w:rFonts w:hint="eastAsia" w:ascii="宋体" w:hAnsi="宋体" w:cs="宋体"/>
                <w:kern w:val="0"/>
                <w:sz w:val="16"/>
                <w:szCs w:val="16"/>
              </w:rPr>
              <w:t>①服务承诺函中提供主推授权方案书：每项法规设定主推授权方案，并注明授权来源（授权文件中的位置）。</w:t>
            </w:r>
            <w:r>
              <w:rPr>
                <w:rFonts w:hint="eastAsia" w:ascii="宋体" w:hAnsi="宋体" w:cs="宋体"/>
                <w:kern w:val="0"/>
                <w:sz w:val="16"/>
                <w:szCs w:val="16"/>
              </w:rPr>
              <w:br w:type="textWrapping"/>
            </w:r>
            <w:r>
              <w:rPr>
                <w:rFonts w:hint="eastAsia" w:ascii="宋体" w:hAnsi="宋体" w:cs="宋体"/>
                <w:kern w:val="0"/>
                <w:sz w:val="16"/>
                <w:szCs w:val="16"/>
              </w:rPr>
              <w:t>②提供各技术服务机构授权证明所附的法规清单。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授权方案书仅由商务报价中主要发证机构构成,授权完整且各法规一一指向授权文件具体位置。</w:t>
            </w:r>
          </w:p>
        </w:tc>
        <w:tc>
          <w:tcPr>
            <w:tcW w:w="900"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30</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kern w:val="0"/>
                <w:sz w:val="18"/>
                <w:szCs w:val="18"/>
              </w:rPr>
            </w:pPr>
            <w:r>
              <w:rPr>
                <w:rFonts w:hint="eastAsia" w:ascii="宋体" w:hAnsi="宋体" w:cs="宋体"/>
                <w:kern w:val="0"/>
                <w:sz w:val="18"/>
                <w:szCs w:val="18"/>
              </w:rPr>
              <w:t>授权方案书存在缺陷，每项缺陷从30分扣减，最低为0分：</w:t>
            </w:r>
          </w:p>
          <w:p>
            <w:pPr>
              <w:widowControl/>
              <w:textAlignment w:val="center"/>
              <w:rPr>
                <w:rFonts w:hint="eastAsia" w:ascii="宋体" w:hAnsi="宋体" w:cs="宋体"/>
                <w:kern w:val="0"/>
                <w:sz w:val="18"/>
                <w:szCs w:val="18"/>
              </w:rPr>
            </w:pPr>
            <w:r>
              <w:rPr>
                <w:rFonts w:ascii="宋体" w:hAnsi="宋体" w:cs="宋体"/>
                <w:kern w:val="0"/>
                <w:sz w:val="18"/>
                <w:szCs w:val="18"/>
              </w:rPr>
              <w:t>①</w:t>
            </w:r>
            <w:r>
              <w:rPr>
                <w:rFonts w:hint="eastAsia" w:ascii="宋体" w:hAnsi="宋体" w:cs="宋体"/>
                <w:kern w:val="0"/>
                <w:sz w:val="18"/>
                <w:szCs w:val="18"/>
              </w:rPr>
              <w:t xml:space="preserve"> 授权方案书中主要发证机构的项目占比未过半：-30分；</w:t>
            </w:r>
          </w:p>
          <w:p>
            <w:pPr>
              <w:widowControl/>
              <w:textAlignment w:val="center"/>
              <w:rPr>
                <w:rFonts w:hint="eastAsia" w:ascii="宋体" w:hAnsi="宋体" w:cs="宋体"/>
                <w:kern w:val="0"/>
                <w:sz w:val="18"/>
                <w:szCs w:val="18"/>
              </w:rPr>
            </w:pPr>
            <w:r>
              <w:rPr>
                <w:rFonts w:ascii="宋体" w:hAnsi="宋体" w:cs="宋体"/>
                <w:kern w:val="0"/>
                <w:sz w:val="18"/>
                <w:szCs w:val="18"/>
              </w:rPr>
              <w:t>②</w:t>
            </w:r>
            <w:r>
              <w:rPr>
                <w:rFonts w:hint="eastAsia" w:ascii="宋体" w:hAnsi="宋体" w:cs="宋体"/>
                <w:kern w:val="0"/>
                <w:sz w:val="18"/>
                <w:szCs w:val="18"/>
              </w:rPr>
              <w:t xml:space="preserve"> 相对报价表授权缺失的每个法规项：-对应加权系数*0.5 分；</w:t>
            </w:r>
          </w:p>
          <w:p>
            <w:pPr>
              <w:widowControl/>
              <w:textAlignment w:val="center"/>
              <w:rPr>
                <w:rFonts w:hint="eastAsia" w:ascii="宋体" w:hAnsi="宋体" w:cs="宋体"/>
                <w:kern w:val="0"/>
                <w:sz w:val="18"/>
                <w:szCs w:val="18"/>
              </w:rPr>
            </w:pPr>
            <w:r>
              <w:rPr>
                <w:rFonts w:ascii="宋体" w:hAnsi="宋体" w:cs="宋体"/>
                <w:kern w:val="0"/>
                <w:sz w:val="18"/>
                <w:szCs w:val="18"/>
              </w:rPr>
              <w:t>③</w:t>
            </w:r>
            <w:r>
              <w:rPr>
                <w:rFonts w:hint="eastAsia" w:ascii="宋体" w:hAnsi="宋体" w:cs="宋体"/>
                <w:kern w:val="0"/>
                <w:sz w:val="18"/>
                <w:szCs w:val="18"/>
              </w:rPr>
              <w:t xml:space="preserve"> 授权方案书非单一发证机构组成：-5分；</w:t>
            </w:r>
          </w:p>
          <w:p>
            <w:pPr>
              <w:widowControl/>
              <w:textAlignment w:val="center"/>
              <w:rPr>
                <w:rFonts w:hint="eastAsia" w:ascii="宋体" w:hAnsi="宋体" w:cs="宋体"/>
                <w:kern w:val="0"/>
                <w:sz w:val="18"/>
                <w:szCs w:val="18"/>
              </w:rPr>
            </w:pPr>
            <w:r>
              <w:rPr>
                <w:rFonts w:ascii="宋体" w:hAnsi="宋体" w:cs="宋体"/>
                <w:kern w:val="0"/>
                <w:sz w:val="18"/>
                <w:szCs w:val="18"/>
              </w:rPr>
              <w:t>④</w:t>
            </w:r>
            <w:r>
              <w:rPr>
                <w:rFonts w:hint="eastAsia" w:ascii="宋体" w:hAnsi="宋体" w:cs="宋体"/>
                <w:kern w:val="0"/>
                <w:sz w:val="18"/>
                <w:szCs w:val="18"/>
              </w:rPr>
              <w:t xml:space="preserve"> 授权文件中的位置无法清晰地一一指明对应法规号或名称：-10分。</w:t>
            </w:r>
          </w:p>
        </w:tc>
        <w:tc>
          <w:tcPr>
            <w:tcW w:w="900"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0-29.5</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715"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3</w:t>
            </w:r>
          </w:p>
        </w:tc>
        <w:tc>
          <w:tcPr>
            <w:tcW w:w="162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资质授权类型（30分）</w:t>
            </w:r>
          </w:p>
        </w:tc>
        <w:tc>
          <w:tcPr>
            <w:tcW w:w="3833" w:type="dxa"/>
            <w:vAlign w:val="center"/>
          </w:tcPr>
          <w:p>
            <w:pPr>
              <w:widowControl/>
              <w:textAlignment w:val="center"/>
              <w:rPr>
                <w:rFonts w:hint="eastAsia" w:ascii="宋体" w:hAnsi="宋体" w:cs="宋体"/>
                <w:sz w:val="18"/>
                <w:szCs w:val="18"/>
              </w:rPr>
            </w:pPr>
            <w:r>
              <w:rPr>
                <w:rStyle w:val="13"/>
                <w:rFonts w:hint="default"/>
                <w:color w:val="auto"/>
              </w:rPr>
              <w:t>投标方或其所在集团、从属、控股企业取得发证机构的直接授权，且代码为E1到E9的授权数量</w:t>
            </w:r>
            <w:r>
              <w:rPr>
                <w:rStyle w:val="25"/>
                <w:rFonts w:hint="eastAsia"/>
                <w:color w:val="auto"/>
              </w:rPr>
              <w:t>≧</w:t>
            </w:r>
            <w:r>
              <w:rPr>
                <w:rStyle w:val="13"/>
                <w:rFonts w:hint="default"/>
                <w:color w:val="auto"/>
              </w:rPr>
              <w:t>2。</w:t>
            </w:r>
          </w:p>
        </w:tc>
        <w:tc>
          <w:tcPr>
            <w:tcW w:w="900"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30</w:t>
            </w:r>
          </w:p>
        </w:tc>
        <w:tc>
          <w:tcPr>
            <w:tcW w:w="2424" w:type="dxa"/>
            <w:vMerge w:val="restart"/>
            <w:vAlign w:val="center"/>
          </w:tcPr>
          <w:p>
            <w:pPr>
              <w:widowControl/>
              <w:jc w:val="left"/>
              <w:textAlignment w:val="center"/>
              <w:rPr>
                <w:rStyle w:val="23"/>
                <w:rFonts w:hint="default" w:ascii="宋体" w:hAnsi="宋体" w:eastAsia="宋体" w:cs="宋体"/>
                <w:color w:val="auto"/>
              </w:rPr>
            </w:pPr>
            <w:r>
              <w:rPr>
                <w:rStyle w:val="23"/>
                <w:rFonts w:hint="default" w:ascii="宋体" w:hAnsi="宋体" w:eastAsia="宋体" w:cs="宋体"/>
                <w:color w:val="auto"/>
              </w:rPr>
              <w:t>提供</w:t>
            </w:r>
            <w:r>
              <w:rPr>
                <w:rStyle w:val="24"/>
                <w:rFonts w:hint="default" w:ascii="宋体" w:hAnsi="宋体" w:eastAsia="宋体" w:cs="宋体"/>
                <w:color w:val="auto"/>
              </w:rPr>
              <w:t>商务报价</w:t>
            </w:r>
            <w:r>
              <w:rPr>
                <w:rStyle w:val="23"/>
                <w:rFonts w:hint="default" w:ascii="宋体" w:hAnsi="宋体" w:eastAsia="宋体" w:cs="宋体"/>
                <w:color w:val="auto"/>
              </w:rPr>
              <w:t>中所有对应发证机构的技术服务机构授权证明。</w:t>
            </w:r>
          </w:p>
          <w:p>
            <w:pPr>
              <w:widowControl/>
              <w:jc w:val="left"/>
              <w:textAlignment w:val="center"/>
              <w:rPr>
                <w:rFonts w:hint="eastAsia" w:ascii="宋体" w:hAnsi="宋体" w:cs="宋体"/>
                <w:sz w:val="16"/>
                <w:szCs w:val="16"/>
              </w:rPr>
            </w:pPr>
            <w:r>
              <w:rPr>
                <w:rStyle w:val="23"/>
                <w:rFonts w:hint="default" w:ascii="宋体" w:hAnsi="宋体" w:eastAsia="宋体" w:cs="宋体"/>
                <w:color w:val="auto"/>
              </w:rPr>
              <w:t>如为非直接授权，还需提供下属三类材料之一：</w:t>
            </w:r>
            <w:r>
              <w:rPr>
                <w:rStyle w:val="23"/>
                <w:rFonts w:hint="default" w:ascii="宋体" w:hAnsi="宋体" w:eastAsia="宋体" w:cs="宋体"/>
                <w:color w:val="auto"/>
              </w:rPr>
              <w:br w:type="textWrapping"/>
            </w:r>
            <w:r>
              <w:rPr>
                <w:rStyle w:val="23"/>
                <w:rFonts w:hint="default" w:ascii="宋体" w:hAnsi="宋体" w:eastAsia="宋体" w:cs="宋体"/>
                <w:color w:val="auto"/>
              </w:rPr>
              <w:t>①与被授权方的关联关系（仅限于所属关系或股权控制关系）；</w:t>
            </w:r>
            <w:r>
              <w:rPr>
                <w:rStyle w:val="23"/>
                <w:rFonts w:hint="default" w:ascii="宋体" w:hAnsi="宋体" w:eastAsia="宋体" w:cs="宋体"/>
                <w:color w:val="auto"/>
              </w:rPr>
              <w:br w:type="textWrapping"/>
            </w:r>
            <w:r>
              <w:rPr>
                <w:rStyle w:val="23"/>
                <w:rFonts w:hint="default" w:ascii="宋体" w:hAnsi="宋体" w:eastAsia="宋体" w:cs="宋体"/>
                <w:color w:val="auto"/>
              </w:rPr>
              <w:t>②对应技术服务机构的发放给投标方的检查（inspection）授权文件；</w:t>
            </w:r>
            <w:r>
              <w:rPr>
                <w:rStyle w:val="23"/>
                <w:rFonts w:hint="default" w:ascii="宋体" w:hAnsi="宋体" w:eastAsia="宋体" w:cs="宋体"/>
                <w:color w:val="auto"/>
              </w:rPr>
              <w:br w:type="textWrapping"/>
            </w:r>
            <w:r>
              <w:rPr>
                <w:rStyle w:val="23"/>
                <w:rFonts w:hint="default" w:ascii="宋体" w:hAnsi="宋体" w:eastAsia="宋体" w:cs="宋体"/>
                <w:color w:val="auto"/>
              </w:rPr>
              <w:t>③技术服务机构的商务代理协议及投标方雇员的个人授权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投标方或其所在集团、从属、控股企业取得发证机构的直接授权，且代码为E1到E9的授权数量为1。</w:t>
            </w:r>
          </w:p>
        </w:tc>
        <w:tc>
          <w:tcPr>
            <w:tcW w:w="900"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26</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投标方或其所在集团、从属、控股企业取得发证机构的直接授权，但代码未覆盖E1到E9。</w:t>
            </w:r>
          </w:p>
        </w:tc>
        <w:tc>
          <w:tcPr>
            <w:tcW w:w="900"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22</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投标方取得被授权技术服务机构的公司级检查（inspection）转授权，授权路径清晰直接。</w:t>
            </w:r>
          </w:p>
        </w:tc>
        <w:tc>
          <w:tcPr>
            <w:tcW w:w="900"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20</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投标方取得被授权技术服务机构的公司级检查（inspection）转授权，但授权路径复杂或者链路存在瑕疵。</w:t>
            </w:r>
          </w:p>
        </w:tc>
        <w:tc>
          <w:tcPr>
            <w:tcW w:w="900"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10</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投标方取得技术服务机构授权书为锁定投标方雇员的个人授权，每名雇员仅计3分。</w:t>
            </w:r>
          </w:p>
        </w:tc>
        <w:tc>
          <w:tcPr>
            <w:tcW w:w="900"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0-18</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15"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4</w:t>
            </w:r>
          </w:p>
        </w:tc>
        <w:tc>
          <w:tcPr>
            <w:tcW w:w="1626" w:type="dxa"/>
            <w:vMerge w:val="restart"/>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rPr>
              <w:t>额外的资质授权</w:t>
            </w:r>
            <w:r>
              <w:rPr>
                <w:rFonts w:hint="eastAsia" w:ascii="宋体" w:hAnsi="宋体" w:cs="宋体"/>
                <w:kern w:val="0"/>
                <w:sz w:val="18"/>
                <w:szCs w:val="18"/>
              </w:rPr>
              <w:br w:type="textWrapping"/>
            </w:r>
            <w:r>
              <w:rPr>
                <w:rFonts w:hint="eastAsia" w:ascii="宋体" w:hAnsi="宋体" w:cs="宋体"/>
                <w:kern w:val="0"/>
                <w:sz w:val="18"/>
                <w:szCs w:val="18"/>
              </w:rPr>
              <w:t>（10分）</w:t>
            </w:r>
          </w:p>
        </w:tc>
        <w:tc>
          <w:tcPr>
            <w:tcW w:w="3833" w:type="dxa"/>
            <w:vAlign w:val="center"/>
          </w:tcPr>
          <w:p>
            <w:pPr>
              <w:widowControl/>
              <w:textAlignment w:val="center"/>
              <w:rPr>
                <w:rFonts w:hint="eastAsia" w:ascii="宋体" w:hAnsi="宋体" w:cs="宋体"/>
                <w:kern w:val="0"/>
                <w:sz w:val="18"/>
                <w:szCs w:val="18"/>
              </w:rPr>
            </w:pPr>
            <w:r>
              <w:rPr>
                <w:rFonts w:hint="eastAsia" w:ascii="宋体" w:hAnsi="宋体" w:cs="宋体"/>
                <w:kern w:val="0"/>
                <w:sz w:val="18"/>
                <w:szCs w:val="18"/>
              </w:rPr>
              <w:t>根据额外资质授权评分，最高得分不超过10分。</w:t>
            </w:r>
          </w:p>
          <w:p>
            <w:pPr>
              <w:widowControl/>
              <w:textAlignment w:val="center"/>
              <w:rPr>
                <w:rFonts w:hint="eastAsia" w:ascii="宋体" w:hAnsi="宋体" w:cs="宋体"/>
                <w:kern w:val="0"/>
                <w:sz w:val="18"/>
                <w:szCs w:val="18"/>
              </w:rPr>
            </w:pPr>
            <w:r>
              <w:rPr>
                <w:rFonts w:hint="eastAsia" w:ascii="宋体" w:hAnsi="宋体" w:cs="宋体"/>
                <w:kern w:val="0"/>
                <w:sz w:val="18"/>
                <w:szCs w:val="18"/>
              </w:rPr>
              <w:t>提供说明内容任一额外资质的完整授权证明文件</w:t>
            </w:r>
            <w:r>
              <w:rPr>
                <w:rFonts w:hint="eastAsia" w:ascii="宋体" w:hAnsi="宋体" w:cs="宋体"/>
                <w:b/>
                <w:bCs/>
                <w:kern w:val="0"/>
                <w:sz w:val="16"/>
                <w:szCs w:val="16"/>
              </w:rPr>
              <w:t>每个+3</w:t>
            </w:r>
            <w:r>
              <w:rPr>
                <w:rFonts w:hint="eastAsia" w:ascii="宋体" w:hAnsi="宋体" w:cs="宋体"/>
                <w:kern w:val="0"/>
                <w:sz w:val="18"/>
                <w:szCs w:val="18"/>
              </w:rPr>
              <w:t>。提供生产一致性审查授权根据发证机构不同可重复得分。其他同类型证明不重复得分。</w:t>
            </w:r>
          </w:p>
        </w:tc>
        <w:tc>
          <w:tcPr>
            <w:tcW w:w="900" w:type="dxa"/>
            <w:vAlign w:val="center"/>
          </w:tcPr>
          <w:p>
            <w:pPr>
              <w:widowControl/>
              <w:jc w:val="center"/>
              <w:textAlignment w:val="center"/>
              <w:rPr>
                <w:rFonts w:hint="eastAsia" w:ascii="宋体" w:hAnsi="宋体" w:cs="宋体"/>
                <w:b/>
                <w:bCs/>
                <w:sz w:val="18"/>
                <w:szCs w:val="18"/>
              </w:rPr>
            </w:pPr>
            <w:r>
              <w:rPr>
                <w:rStyle w:val="16"/>
                <w:rFonts w:hint="default"/>
                <w:color w:val="auto"/>
              </w:rPr>
              <w:t>3-10</w:t>
            </w:r>
          </w:p>
        </w:tc>
        <w:tc>
          <w:tcPr>
            <w:tcW w:w="2424" w:type="dxa"/>
            <w:vMerge w:val="restart"/>
            <w:vAlign w:val="center"/>
          </w:tcPr>
          <w:p>
            <w:pPr>
              <w:widowControl/>
              <w:jc w:val="left"/>
              <w:textAlignment w:val="center"/>
              <w:rPr>
                <w:rFonts w:hint="eastAsia" w:ascii="宋体" w:hAnsi="宋体" w:cs="宋体"/>
                <w:sz w:val="16"/>
                <w:szCs w:val="16"/>
              </w:rPr>
            </w:pPr>
            <w:r>
              <w:rPr>
                <w:rFonts w:hint="eastAsia" w:ascii="宋体" w:hAnsi="宋体" w:cs="宋体"/>
                <w:kern w:val="0"/>
                <w:sz w:val="16"/>
                <w:szCs w:val="16"/>
              </w:rPr>
              <w:t>提供以下额外资质授权证明：</w:t>
            </w:r>
            <w:r>
              <w:rPr>
                <w:rFonts w:hint="eastAsia" w:ascii="宋体" w:hAnsi="宋体" w:cs="宋体"/>
                <w:kern w:val="0"/>
                <w:sz w:val="16"/>
                <w:szCs w:val="16"/>
              </w:rPr>
              <w:br w:type="textWrapping"/>
            </w:r>
            <w:r>
              <w:rPr>
                <w:rFonts w:hint="eastAsia" w:ascii="宋体" w:hAnsi="宋体" w:cs="宋体"/>
                <w:kern w:val="0"/>
                <w:sz w:val="16"/>
                <w:szCs w:val="16"/>
              </w:rPr>
              <w:t>①方案书所涉授权证明文件完整覆盖R155和R156法规，需指出所在位置</w:t>
            </w:r>
            <w:r>
              <w:rPr>
                <w:rFonts w:hint="eastAsia" w:ascii="宋体" w:hAnsi="宋体" w:cs="宋体"/>
                <w:kern w:val="0"/>
                <w:sz w:val="16"/>
                <w:szCs w:val="16"/>
              </w:rPr>
              <w:br w:type="textWrapping"/>
            </w:r>
            <w:r>
              <w:rPr>
                <w:rFonts w:hint="eastAsia" w:ascii="宋体" w:hAnsi="宋体" w:cs="宋体"/>
                <w:kern w:val="0"/>
                <w:sz w:val="16"/>
                <w:szCs w:val="16"/>
              </w:rPr>
              <w:t>②参与欧标法规标准制修订的证明</w:t>
            </w:r>
            <w:r>
              <w:rPr>
                <w:rFonts w:hint="eastAsia" w:ascii="宋体" w:hAnsi="宋体" w:cs="宋体"/>
                <w:kern w:val="0"/>
                <w:sz w:val="16"/>
                <w:szCs w:val="16"/>
              </w:rPr>
              <w:br w:type="textWrapping"/>
            </w:r>
            <w:r>
              <w:rPr>
                <w:rFonts w:hint="eastAsia" w:ascii="宋体" w:hAnsi="宋体" w:cs="宋体"/>
                <w:kern w:val="0"/>
                <w:sz w:val="16"/>
                <w:szCs w:val="16"/>
              </w:rPr>
              <w:t>③报价表中发证机构的COP生产一致性审查授权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15" w:type="dxa"/>
            <w:vMerge w:val="continue"/>
            <w:vAlign w:val="center"/>
          </w:tcPr>
          <w:p>
            <w:pPr>
              <w:jc w:val="center"/>
              <w:rPr>
                <w:rFonts w:hint="eastAsia" w:ascii="宋体" w:hAnsi="宋体" w:cs="宋体"/>
                <w:sz w:val="18"/>
                <w:szCs w:val="18"/>
              </w:rPr>
            </w:pPr>
          </w:p>
        </w:tc>
        <w:tc>
          <w:tcPr>
            <w:tcW w:w="1626" w:type="dxa"/>
            <w:vMerge w:val="continue"/>
            <w:vAlign w:val="center"/>
          </w:tcPr>
          <w:p>
            <w:pPr>
              <w:jc w:val="center"/>
              <w:rPr>
                <w:rFonts w:hint="eastAsia" w:ascii="宋体" w:hAnsi="宋体" w:cs="宋体"/>
                <w:sz w:val="18"/>
                <w:szCs w:val="18"/>
              </w:rPr>
            </w:pPr>
          </w:p>
        </w:tc>
        <w:tc>
          <w:tcPr>
            <w:tcW w:w="3833"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无法提供说明内容的任一额外资质授权证明。</w:t>
            </w:r>
          </w:p>
        </w:tc>
        <w:tc>
          <w:tcPr>
            <w:tcW w:w="900"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w:t>
            </w:r>
          </w:p>
        </w:tc>
        <w:tc>
          <w:tcPr>
            <w:tcW w:w="2424" w:type="dxa"/>
            <w:vMerge w:val="continue"/>
            <w:vAlign w:val="center"/>
          </w:tcPr>
          <w:p>
            <w:pPr>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7074" w:type="dxa"/>
            <w:gridSpan w:val="4"/>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rPr>
              <w:t>评分小计（A）（满分100分，权重17.5%）</w:t>
            </w:r>
          </w:p>
        </w:tc>
        <w:tc>
          <w:tcPr>
            <w:tcW w:w="2424" w:type="dxa"/>
            <w:vAlign w:val="center"/>
          </w:tcPr>
          <w:p>
            <w:pPr>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9498" w:type="dxa"/>
            <w:gridSpan w:val="5"/>
            <w:vAlign w:val="center"/>
          </w:tcPr>
          <w:p>
            <w:pPr>
              <w:rPr>
                <w:rFonts w:hint="eastAsia" w:ascii="宋体" w:hAnsi="宋体" w:cs="宋体"/>
                <w:b/>
                <w:bCs/>
                <w:szCs w:val="21"/>
              </w:rPr>
            </w:pPr>
            <w:r>
              <w:rPr>
                <w:rFonts w:hint="eastAsia" w:ascii="宋体" w:hAnsi="宋体" w:cs="宋体"/>
                <w:b/>
                <w:bCs/>
                <w:kern w:val="0"/>
                <w:szCs w:val="21"/>
              </w:rPr>
              <w:t>本表中“-100”表示“不满足当前评分项得分要求的，扣除本表所有得分”。</w:t>
            </w:r>
          </w:p>
        </w:tc>
      </w:tr>
    </w:tbl>
    <w:p>
      <w:pPr>
        <w:rPr>
          <w:rFonts w:hint="eastAsia" w:ascii="宋体" w:hAnsi="宋体" w:cs="宋体"/>
          <w:b/>
          <w:bCs/>
          <w:color w:val="000000"/>
          <w:kern w:val="0"/>
          <w:sz w:val="24"/>
        </w:rPr>
      </w:pPr>
    </w:p>
    <w:p>
      <w:pPr>
        <w:ind w:left="638" w:leftChars="304" w:firstLine="0" w:firstLineChars="0"/>
        <w:rPr>
          <w:rFonts w:hint="eastAsia" w:ascii="等线" w:hAnsi="等线" w:eastAsia="等线"/>
          <w:b/>
          <w:bCs/>
        </w:rPr>
      </w:pPr>
      <w:r>
        <w:rPr>
          <w:rFonts w:hint="eastAsia" w:ascii="等线" w:hAnsi="等线" w:eastAsia="等线"/>
          <w:b/>
          <w:bCs/>
        </w:rPr>
        <w:t>1.3供应商能力评审表-服务S分项评分标准及分数</w:t>
      </w:r>
    </w:p>
    <w:tbl>
      <w:tblPr>
        <w:tblStyle w:val="11"/>
        <w:tblW w:w="95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16"/>
        <w:gridCol w:w="5171"/>
        <w:gridCol w:w="75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blHeader/>
          <w:jc w:val="center"/>
        </w:trPr>
        <w:tc>
          <w:tcPr>
            <w:tcW w:w="561" w:type="dxa"/>
            <w:vMerge w:val="restart"/>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rPr>
              <w:t>序号</w:t>
            </w:r>
          </w:p>
        </w:tc>
        <w:tc>
          <w:tcPr>
            <w:tcW w:w="1816" w:type="dxa"/>
            <w:vMerge w:val="restart"/>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rPr>
              <w:t>供应商能力评审</w:t>
            </w:r>
            <w:r>
              <w:rPr>
                <w:rFonts w:hint="eastAsia" w:ascii="宋体" w:hAnsi="宋体" w:cs="宋体"/>
                <w:b/>
                <w:bCs/>
                <w:kern w:val="0"/>
                <w:sz w:val="22"/>
                <w:szCs w:val="22"/>
              </w:rPr>
              <w:br w:type="textWrapping"/>
            </w:r>
            <w:r>
              <w:rPr>
                <w:rFonts w:hint="eastAsia" w:ascii="宋体" w:hAnsi="宋体" w:cs="宋体"/>
                <w:b/>
                <w:bCs/>
                <w:kern w:val="0"/>
                <w:sz w:val="22"/>
                <w:szCs w:val="22"/>
              </w:rPr>
              <w:t>（服务S分项）</w:t>
            </w:r>
          </w:p>
        </w:tc>
        <w:tc>
          <w:tcPr>
            <w:tcW w:w="5171" w:type="dxa"/>
            <w:vMerge w:val="restart"/>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rPr>
              <w:t>评分标准</w:t>
            </w:r>
          </w:p>
        </w:tc>
        <w:tc>
          <w:tcPr>
            <w:tcW w:w="752" w:type="dxa"/>
            <w:vMerge w:val="restart"/>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rPr>
              <w:t>分数</w:t>
            </w:r>
          </w:p>
        </w:tc>
        <w:tc>
          <w:tcPr>
            <w:tcW w:w="1275" w:type="dxa"/>
            <w:vMerge w:val="restart"/>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61" w:type="dxa"/>
            <w:vMerge w:val="continue"/>
            <w:vAlign w:val="center"/>
          </w:tcPr>
          <w:p>
            <w:pPr>
              <w:widowControl/>
              <w:jc w:val="center"/>
              <w:rPr>
                <w:rFonts w:hint="eastAsia" w:ascii="宋体" w:hAnsi="宋体" w:cs="宋体"/>
                <w:b/>
                <w:bCs/>
                <w:sz w:val="22"/>
                <w:szCs w:val="22"/>
              </w:rPr>
            </w:pPr>
          </w:p>
        </w:tc>
        <w:tc>
          <w:tcPr>
            <w:tcW w:w="1816" w:type="dxa"/>
            <w:vMerge w:val="continue"/>
            <w:vAlign w:val="center"/>
          </w:tcPr>
          <w:p>
            <w:pPr>
              <w:widowControl/>
              <w:jc w:val="center"/>
              <w:rPr>
                <w:rFonts w:hint="eastAsia" w:ascii="宋体" w:hAnsi="宋体" w:cs="宋体"/>
                <w:b/>
                <w:bCs/>
                <w:sz w:val="22"/>
                <w:szCs w:val="22"/>
              </w:rPr>
            </w:pPr>
          </w:p>
        </w:tc>
        <w:tc>
          <w:tcPr>
            <w:tcW w:w="5171" w:type="dxa"/>
            <w:vMerge w:val="continue"/>
            <w:vAlign w:val="center"/>
          </w:tcPr>
          <w:p>
            <w:pPr>
              <w:widowControl/>
              <w:jc w:val="center"/>
              <w:rPr>
                <w:rFonts w:hint="eastAsia" w:ascii="宋体" w:hAnsi="宋体" w:cs="宋体"/>
                <w:b/>
                <w:bCs/>
                <w:sz w:val="22"/>
                <w:szCs w:val="22"/>
              </w:rPr>
            </w:pPr>
          </w:p>
        </w:tc>
        <w:tc>
          <w:tcPr>
            <w:tcW w:w="752" w:type="dxa"/>
            <w:vMerge w:val="continue"/>
            <w:vAlign w:val="center"/>
          </w:tcPr>
          <w:p>
            <w:pPr>
              <w:widowControl/>
              <w:jc w:val="center"/>
              <w:rPr>
                <w:rFonts w:hint="eastAsia" w:ascii="宋体" w:hAnsi="宋体" w:cs="宋体"/>
                <w:b/>
                <w:bCs/>
                <w:sz w:val="22"/>
                <w:szCs w:val="22"/>
              </w:rPr>
            </w:pPr>
          </w:p>
        </w:tc>
        <w:tc>
          <w:tcPr>
            <w:tcW w:w="1275" w:type="dxa"/>
            <w:vMerge w:val="continue"/>
            <w:vAlign w:val="center"/>
          </w:tcPr>
          <w:p>
            <w:pPr>
              <w:widowControl/>
              <w:jc w:val="center"/>
              <w:rPr>
                <w:rFonts w:hint="eastAsia" w:ascii="宋体" w:hAnsi="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561" w:type="dxa"/>
            <w:vMerge w:val="continue"/>
            <w:vAlign w:val="center"/>
          </w:tcPr>
          <w:p>
            <w:pPr>
              <w:widowControl/>
              <w:jc w:val="center"/>
              <w:rPr>
                <w:rFonts w:hint="eastAsia" w:ascii="宋体" w:hAnsi="宋体" w:cs="宋体"/>
                <w:b/>
                <w:bCs/>
                <w:sz w:val="22"/>
                <w:szCs w:val="22"/>
              </w:rPr>
            </w:pPr>
          </w:p>
        </w:tc>
        <w:tc>
          <w:tcPr>
            <w:tcW w:w="1816" w:type="dxa"/>
            <w:vMerge w:val="continue"/>
            <w:vAlign w:val="center"/>
          </w:tcPr>
          <w:p>
            <w:pPr>
              <w:widowControl/>
              <w:jc w:val="center"/>
              <w:rPr>
                <w:rFonts w:hint="eastAsia" w:ascii="宋体" w:hAnsi="宋体" w:cs="宋体"/>
                <w:b/>
                <w:bCs/>
                <w:sz w:val="22"/>
                <w:szCs w:val="22"/>
              </w:rPr>
            </w:pPr>
          </w:p>
        </w:tc>
        <w:tc>
          <w:tcPr>
            <w:tcW w:w="5171" w:type="dxa"/>
            <w:vMerge w:val="continue"/>
            <w:vAlign w:val="center"/>
          </w:tcPr>
          <w:p>
            <w:pPr>
              <w:widowControl/>
              <w:jc w:val="center"/>
              <w:rPr>
                <w:rFonts w:hint="eastAsia" w:ascii="宋体" w:hAnsi="宋体" w:cs="宋体"/>
                <w:b/>
                <w:bCs/>
                <w:sz w:val="22"/>
                <w:szCs w:val="22"/>
              </w:rPr>
            </w:pPr>
          </w:p>
        </w:tc>
        <w:tc>
          <w:tcPr>
            <w:tcW w:w="752" w:type="dxa"/>
            <w:vMerge w:val="continue"/>
            <w:vAlign w:val="center"/>
          </w:tcPr>
          <w:p>
            <w:pPr>
              <w:widowControl/>
              <w:jc w:val="center"/>
              <w:rPr>
                <w:rFonts w:hint="eastAsia" w:ascii="宋体" w:hAnsi="宋体" w:cs="宋体"/>
                <w:b/>
                <w:bCs/>
                <w:sz w:val="22"/>
                <w:szCs w:val="22"/>
              </w:rPr>
            </w:pPr>
          </w:p>
        </w:tc>
        <w:tc>
          <w:tcPr>
            <w:tcW w:w="1275" w:type="dxa"/>
            <w:vMerge w:val="continue"/>
            <w:vAlign w:val="center"/>
          </w:tcPr>
          <w:p>
            <w:pPr>
              <w:widowControl/>
              <w:jc w:val="center"/>
              <w:rPr>
                <w:rFonts w:hint="eastAsia" w:ascii="宋体" w:hAnsi="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61"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1</w:t>
            </w:r>
          </w:p>
        </w:tc>
        <w:tc>
          <w:tcPr>
            <w:tcW w:w="1816"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主推认证方案证书完成时间</w:t>
            </w:r>
            <w:r>
              <w:rPr>
                <w:rFonts w:hint="eastAsia" w:ascii="宋体" w:hAnsi="宋体" w:cs="宋体"/>
                <w:kern w:val="0"/>
                <w:sz w:val="20"/>
              </w:rPr>
              <w:br w:type="textWrapping"/>
            </w:r>
            <w:r>
              <w:rPr>
                <w:rFonts w:hint="eastAsia" w:ascii="宋体" w:hAnsi="宋体" w:cs="宋体"/>
                <w:kern w:val="0"/>
                <w:sz w:val="20"/>
              </w:rPr>
              <w:t>（25</w:t>
            </w:r>
            <w:r>
              <w:rPr>
                <w:rFonts w:hint="eastAsia" w:ascii="宋体" w:hAnsi="宋体" w:cs="宋体"/>
                <w:kern w:val="0"/>
                <w:sz w:val="18"/>
                <w:szCs w:val="18"/>
              </w:rPr>
              <w:t>分</w:t>
            </w:r>
            <w:r>
              <w:rPr>
                <w:rFonts w:hint="eastAsia" w:ascii="宋体" w:hAnsi="宋体" w:cs="宋体"/>
                <w:kern w:val="0"/>
                <w:sz w:val="20"/>
              </w:rPr>
              <w:t>）</w:t>
            </w:r>
          </w:p>
        </w:tc>
        <w:tc>
          <w:tcPr>
            <w:tcW w:w="5171" w:type="dxa"/>
            <w:vAlign w:val="center"/>
          </w:tcPr>
          <w:p>
            <w:pPr>
              <w:widowControl/>
              <w:textAlignment w:val="center"/>
              <w:rPr>
                <w:rFonts w:hint="eastAsia" w:ascii="宋体" w:hAnsi="宋体" w:cs="宋体"/>
                <w:sz w:val="18"/>
                <w:szCs w:val="18"/>
              </w:rPr>
            </w:pPr>
            <w:r>
              <w:rPr>
                <w:rFonts w:hint="eastAsia" w:ascii="宋体" w:hAnsi="宋体" w:cs="宋体"/>
                <w:b/>
                <w:bCs/>
                <w:kern w:val="0"/>
                <w:sz w:val="18"/>
                <w:szCs w:val="18"/>
              </w:rPr>
              <w:t>否决项：</w:t>
            </w:r>
            <w:r>
              <w:rPr>
                <w:rFonts w:hint="eastAsia" w:ascii="宋体" w:hAnsi="宋体" w:cs="宋体"/>
                <w:kern w:val="0"/>
                <w:sz w:val="18"/>
                <w:szCs w:val="18"/>
              </w:rPr>
              <w:t>无承诺函或承诺时间超过74天</w:t>
            </w:r>
          </w:p>
        </w:tc>
        <w:tc>
          <w:tcPr>
            <w:tcW w:w="752"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-100</w:t>
            </w:r>
          </w:p>
        </w:tc>
        <w:tc>
          <w:tcPr>
            <w:tcW w:w="1275" w:type="dxa"/>
            <w:vMerge w:val="restart"/>
            <w:vAlign w:val="center"/>
          </w:tcPr>
          <w:p>
            <w:pPr>
              <w:widowControl/>
              <w:jc w:val="left"/>
              <w:textAlignment w:val="center"/>
              <w:rPr>
                <w:rFonts w:hint="eastAsia" w:ascii="宋体" w:hAnsi="宋体" w:cs="宋体"/>
                <w:sz w:val="16"/>
                <w:szCs w:val="16"/>
              </w:rPr>
            </w:pPr>
            <w:r>
              <w:rPr>
                <w:rFonts w:hint="eastAsia" w:ascii="宋体" w:hAnsi="宋体" w:cs="宋体"/>
                <w:kern w:val="0"/>
                <w:sz w:val="16"/>
                <w:szCs w:val="16"/>
              </w:rPr>
              <w:t>服务方案承诺书-认证服务时效保证措施中主推认证方案所涉及的发证机构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61" w:type="dxa"/>
            <w:vMerge w:val="continue"/>
            <w:vAlign w:val="center"/>
          </w:tcPr>
          <w:p>
            <w:pPr>
              <w:widowControl/>
              <w:jc w:val="center"/>
              <w:rPr>
                <w:rFonts w:hint="eastAsia" w:ascii="宋体" w:hAnsi="宋体" w:cs="宋体"/>
                <w:sz w:val="20"/>
              </w:rPr>
            </w:pPr>
          </w:p>
        </w:tc>
        <w:tc>
          <w:tcPr>
            <w:tcW w:w="1816" w:type="dxa"/>
            <w:vMerge w:val="continue"/>
            <w:vAlign w:val="center"/>
          </w:tcPr>
          <w:p>
            <w:pPr>
              <w:widowControl/>
              <w:jc w:val="center"/>
              <w:rPr>
                <w:rFonts w:hint="eastAsia" w:ascii="宋体" w:hAnsi="宋体" w:cs="宋体"/>
                <w:sz w:val="20"/>
              </w:rPr>
            </w:pPr>
          </w:p>
        </w:tc>
        <w:tc>
          <w:tcPr>
            <w:tcW w:w="5171"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自测试通过且技术资料提供之日起, 能保证45天内取得认证证书。45天为15分，每少1天+2分，最高为25分。</w:t>
            </w:r>
          </w:p>
        </w:tc>
        <w:tc>
          <w:tcPr>
            <w:tcW w:w="752"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15-25</w:t>
            </w:r>
          </w:p>
        </w:tc>
        <w:tc>
          <w:tcPr>
            <w:tcW w:w="1275" w:type="dxa"/>
            <w:vMerge w:val="continue"/>
            <w:vAlign w:val="center"/>
          </w:tcPr>
          <w:p>
            <w:pPr>
              <w:widowControl/>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61" w:type="dxa"/>
            <w:vMerge w:val="continue"/>
            <w:vAlign w:val="center"/>
          </w:tcPr>
          <w:p>
            <w:pPr>
              <w:widowControl/>
              <w:jc w:val="center"/>
              <w:rPr>
                <w:rFonts w:hint="eastAsia" w:ascii="宋体" w:hAnsi="宋体" w:cs="宋体"/>
                <w:sz w:val="20"/>
              </w:rPr>
            </w:pPr>
          </w:p>
        </w:tc>
        <w:tc>
          <w:tcPr>
            <w:tcW w:w="1816" w:type="dxa"/>
            <w:vMerge w:val="continue"/>
            <w:vAlign w:val="center"/>
          </w:tcPr>
          <w:p>
            <w:pPr>
              <w:widowControl/>
              <w:jc w:val="center"/>
              <w:rPr>
                <w:rFonts w:hint="eastAsia" w:ascii="宋体" w:hAnsi="宋体" w:cs="宋体"/>
                <w:sz w:val="20"/>
              </w:rPr>
            </w:pPr>
          </w:p>
        </w:tc>
        <w:tc>
          <w:tcPr>
            <w:tcW w:w="5171"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自测试通过且技术资料提供之日起,  能保证46-74天内取得认证证书。得分计算公式=14-(n-46)/2。</w:t>
            </w:r>
          </w:p>
        </w:tc>
        <w:tc>
          <w:tcPr>
            <w:tcW w:w="752"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0-14</w:t>
            </w:r>
          </w:p>
        </w:tc>
        <w:tc>
          <w:tcPr>
            <w:tcW w:w="1275" w:type="dxa"/>
            <w:vMerge w:val="continue"/>
            <w:vAlign w:val="center"/>
          </w:tcPr>
          <w:p>
            <w:pPr>
              <w:widowControl/>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61"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2</w:t>
            </w:r>
          </w:p>
        </w:tc>
        <w:tc>
          <w:tcPr>
            <w:tcW w:w="1816"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完成时间保障考核</w:t>
            </w:r>
            <w:r>
              <w:rPr>
                <w:rFonts w:hint="eastAsia" w:ascii="宋体" w:hAnsi="宋体" w:cs="宋体"/>
                <w:kern w:val="0"/>
                <w:sz w:val="20"/>
              </w:rPr>
              <w:br w:type="textWrapping"/>
            </w:r>
            <w:r>
              <w:rPr>
                <w:rFonts w:hint="eastAsia" w:ascii="宋体" w:hAnsi="宋体" w:cs="宋体"/>
                <w:kern w:val="0"/>
                <w:sz w:val="20"/>
              </w:rPr>
              <w:t>（20</w:t>
            </w:r>
            <w:r>
              <w:rPr>
                <w:rFonts w:hint="eastAsia" w:ascii="宋体" w:hAnsi="宋体" w:cs="宋体"/>
                <w:kern w:val="0"/>
                <w:sz w:val="18"/>
                <w:szCs w:val="18"/>
              </w:rPr>
              <w:t>分</w:t>
            </w:r>
            <w:r>
              <w:rPr>
                <w:rFonts w:hint="eastAsia" w:ascii="宋体" w:hAnsi="宋体" w:cs="宋体"/>
                <w:kern w:val="0"/>
                <w:sz w:val="20"/>
              </w:rPr>
              <w:t>）</w:t>
            </w:r>
          </w:p>
        </w:tc>
        <w:tc>
          <w:tcPr>
            <w:tcW w:w="5171" w:type="dxa"/>
            <w:vAlign w:val="center"/>
          </w:tcPr>
          <w:p>
            <w:pPr>
              <w:widowControl/>
              <w:textAlignment w:val="center"/>
              <w:rPr>
                <w:rFonts w:hint="eastAsia" w:ascii="宋体" w:hAnsi="宋体" w:cs="宋体"/>
                <w:sz w:val="18"/>
                <w:szCs w:val="18"/>
              </w:rPr>
            </w:pPr>
            <w:r>
              <w:rPr>
                <w:rFonts w:hint="eastAsia" w:ascii="宋体" w:hAnsi="宋体" w:cs="宋体"/>
                <w:b/>
                <w:bCs/>
                <w:kern w:val="0"/>
                <w:sz w:val="18"/>
                <w:szCs w:val="18"/>
              </w:rPr>
              <w:t>否决项：</w:t>
            </w:r>
            <w:r>
              <w:rPr>
                <w:rFonts w:hint="eastAsia" w:ascii="宋体" w:hAnsi="宋体" w:cs="宋体"/>
                <w:kern w:val="0"/>
                <w:sz w:val="18"/>
                <w:szCs w:val="18"/>
              </w:rPr>
              <w:t>不认同考核承诺函或比率不足75%</w:t>
            </w:r>
          </w:p>
        </w:tc>
        <w:tc>
          <w:tcPr>
            <w:tcW w:w="752"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-100</w:t>
            </w:r>
          </w:p>
        </w:tc>
        <w:tc>
          <w:tcPr>
            <w:tcW w:w="1275" w:type="dxa"/>
            <w:vMerge w:val="restart"/>
            <w:vAlign w:val="center"/>
          </w:tcPr>
          <w:p>
            <w:pPr>
              <w:widowControl/>
              <w:jc w:val="left"/>
              <w:textAlignment w:val="center"/>
              <w:rPr>
                <w:rFonts w:hint="eastAsia" w:ascii="宋体" w:hAnsi="宋体" w:cs="宋体"/>
                <w:sz w:val="16"/>
                <w:szCs w:val="16"/>
              </w:rPr>
            </w:pPr>
            <w:r>
              <w:rPr>
                <w:rFonts w:hint="eastAsia" w:ascii="宋体" w:hAnsi="宋体" w:cs="宋体"/>
                <w:kern w:val="0"/>
                <w:sz w:val="16"/>
                <w:szCs w:val="16"/>
              </w:rPr>
              <w:t>服务方案承诺书-认证服务时效保证措施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61" w:type="dxa"/>
            <w:vMerge w:val="continue"/>
            <w:vAlign w:val="center"/>
          </w:tcPr>
          <w:p>
            <w:pPr>
              <w:widowControl/>
              <w:jc w:val="center"/>
              <w:rPr>
                <w:rFonts w:hint="eastAsia" w:ascii="宋体" w:hAnsi="宋体" w:cs="宋体"/>
                <w:sz w:val="20"/>
              </w:rPr>
            </w:pPr>
          </w:p>
        </w:tc>
        <w:tc>
          <w:tcPr>
            <w:tcW w:w="1816" w:type="dxa"/>
            <w:vMerge w:val="continue"/>
            <w:vAlign w:val="center"/>
          </w:tcPr>
          <w:p>
            <w:pPr>
              <w:widowControl/>
              <w:jc w:val="center"/>
              <w:rPr>
                <w:rFonts w:hint="eastAsia" w:ascii="宋体" w:hAnsi="宋体" w:cs="宋体"/>
                <w:sz w:val="20"/>
              </w:rPr>
            </w:pPr>
          </w:p>
        </w:tc>
        <w:tc>
          <w:tcPr>
            <w:tcW w:w="5171"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考核比率为当周期按期完成报告数量/服务需求数量之比低于96%及以上</w:t>
            </w:r>
          </w:p>
        </w:tc>
        <w:tc>
          <w:tcPr>
            <w:tcW w:w="752"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20</w:t>
            </w:r>
          </w:p>
        </w:tc>
        <w:tc>
          <w:tcPr>
            <w:tcW w:w="1275" w:type="dxa"/>
            <w:vMerge w:val="continue"/>
            <w:vAlign w:val="center"/>
          </w:tcPr>
          <w:p>
            <w:pPr>
              <w:widowControl/>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61" w:type="dxa"/>
            <w:vMerge w:val="continue"/>
            <w:vAlign w:val="center"/>
          </w:tcPr>
          <w:p>
            <w:pPr>
              <w:widowControl/>
              <w:jc w:val="center"/>
              <w:rPr>
                <w:rFonts w:hint="eastAsia" w:ascii="宋体" w:hAnsi="宋体" w:cs="宋体"/>
                <w:sz w:val="20"/>
              </w:rPr>
            </w:pPr>
          </w:p>
        </w:tc>
        <w:tc>
          <w:tcPr>
            <w:tcW w:w="1816" w:type="dxa"/>
            <w:vMerge w:val="continue"/>
            <w:vAlign w:val="center"/>
          </w:tcPr>
          <w:p>
            <w:pPr>
              <w:widowControl/>
              <w:jc w:val="center"/>
              <w:rPr>
                <w:rFonts w:hint="eastAsia" w:ascii="宋体" w:hAnsi="宋体" w:cs="宋体"/>
                <w:sz w:val="20"/>
              </w:rPr>
            </w:pPr>
          </w:p>
        </w:tc>
        <w:tc>
          <w:tcPr>
            <w:tcW w:w="5171"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考核比率为当周期按期完成报告数量/服务需求数量之比低于91%-95%，91%为16分，每提高1%分数+2。</w:t>
            </w:r>
          </w:p>
        </w:tc>
        <w:tc>
          <w:tcPr>
            <w:tcW w:w="752"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11-19</w:t>
            </w:r>
          </w:p>
        </w:tc>
        <w:tc>
          <w:tcPr>
            <w:tcW w:w="1275" w:type="dxa"/>
            <w:vMerge w:val="continue"/>
            <w:vAlign w:val="center"/>
          </w:tcPr>
          <w:p>
            <w:pPr>
              <w:widowControl/>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61" w:type="dxa"/>
            <w:vMerge w:val="continue"/>
            <w:vAlign w:val="center"/>
          </w:tcPr>
          <w:p>
            <w:pPr>
              <w:widowControl/>
              <w:jc w:val="center"/>
              <w:rPr>
                <w:rFonts w:hint="eastAsia" w:ascii="宋体" w:hAnsi="宋体" w:cs="宋体"/>
                <w:sz w:val="20"/>
              </w:rPr>
            </w:pPr>
          </w:p>
        </w:tc>
        <w:tc>
          <w:tcPr>
            <w:tcW w:w="1816" w:type="dxa"/>
            <w:vMerge w:val="continue"/>
            <w:vAlign w:val="center"/>
          </w:tcPr>
          <w:p>
            <w:pPr>
              <w:widowControl/>
              <w:jc w:val="center"/>
              <w:rPr>
                <w:rFonts w:hint="eastAsia" w:ascii="宋体" w:hAnsi="宋体" w:cs="宋体"/>
                <w:sz w:val="20"/>
              </w:rPr>
            </w:pPr>
          </w:p>
        </w:tc>
        <w:tc>
          <w:tcPr>
            <w:tcW w:w="5171"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考核比率为当周期按期完成报告数量/服务需求数量之比低于81%-90%,81%为1分，每提高1%分数+1。</w:t>
            </w:r>
          </w:p>
        </w:tc>
        <w:tc>
          <w:tcPr>
            <w:tcW w:w="752"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1-10</w:t>
            </w:r>
          </w:p>
        </w:tc>
        <w:tc>
          <w:tcPr>
            <w:tcW w:w="1275" w:type="dxa"/>
            <w:vMerge w:val="continue"/>
            <w:vAlign w:val="center"/>
          </w:tcPr>
          <w:p>
            <w:pPr>
              <w:widowControl/>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61" w:type="dxa"/>
            <w:vMerge w:val="continue"/>
            <w:vAlign w:val="center"/>
          </w:tcPr>
          <w:p>
            <w:pPr>
              <w:widowControl/>
              <w:jc w:val="center"/>
              <w:rPr>
                <w:rFonts w:hint="eastAsia" w:ascii="宋体" w:hAnsi="宋体" w:cs="宋体"/>
                <w:sz w:val="20"/>
              </w:rPr>
            </w:pPr>
          </w:p>
        </w:tc>
        <w:tc>
          <w:tcPr>
            <w:tcW w:w="1816" w:type="dxa"/>
            <w:vMerge w:val="continue"/>
            <w:vAlign w:val="center"/>
          </w:tcPr>
          <w:p>
            <w:pPr>
              <w:widowControl/>
              <w:jc w:val="center"/>
              <w:rPr>
                <w:rFonts w:hint="eastAsia" w:ascii="宋体" w:hAnsi="宋体" w:cs="宋体"/>
                <w:sz w:val="20"/>
              </w:rPr>
            </w:pPr>
          </w:p>
        </w:tc>
        <w:tc>
          <w:tcPr>
            <w:tcW w:w="5171"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考核比率为当周期按期完成报告数量/服务需求数量之比75%-80%。</w:t>
            </w:r>
          </w:p>
        </w:tc>
        <w:tc>
          <w:tcPr>
            <w:tcW w:w="752"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w:t>
            </w:r>
          </w:p>
        </w:tc>
        <w:tc>
          <w:tcPr>
            <w:tcW w:w="1275" w:type="dxa"/>
            <w:vMerge w:val="continue"/>
            <w:vAlign w:val="center"/>
          </w:tcPr>
          <w:p>
            <w:pPr>
              <w:widowControl/>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61"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3</w:t>
            </w:r>
          </w:p>
        </w:tc>
        <w:tc>
          <w:tcPr>
            <w:tcW w:w="1816" w:type="dxa"/>
            <w:vMerge w:val="restart"/>
            <w:vAlign w:val="center"/>
          </w:tcPr>
          <w:p>
            <w:pPr>
              <w:widowControl/>
              <w:jc w:val="center"/>
              <w:textAlignment w:val="center"/>
              <w:rPr>
                <w:rFonts w:hint="eastAsia" w:ascii="宋体" w:hAnsi="宋体" w:cs="宋体"/>
                <w:sz w:val="20"/>
              </w:rPr>
            </w:pPr>
            <w:r>
              <w:rPr>
                <w:rFonts w:hint="eastAsia" w:ascii="宋体" w:hAnsi="宋体" w:cs="宋体"/>
                <w:kern w:val="0"/>
                <w:sz w:val="20"/>
              </w:rPr>
              <w:t>工程师驻点</w:t>
            </w:r>
            <w:r>
              <w:rPr>
                <w:rFonts w:hint="eastAsia" w:ascii="宋体" w:hAnsi="宋体" w:cs="宋体"/>
                <w:kern w:val="0"/>
                <w:sz w:val="20"/>
              </w:rPr>
              <w:br w:type="textWrapping"/>
            </w:r>
            <w:r>
              <w:rPr>
                <w:rFonts w:hint="eastAsia" w:ascii="宋体" w:hAnsi="宋体" w:cs="宋体"/>
                <w:kern w:val="0"/>
                <w:sz w:val="20"/>
              </w:rPr>
              <w:t>（15</w:t>
            </w:r>
            <w:r>
              <w:rPr>
                <w:rFonts w:hint="eastAsia" w:ascii="宋体" w:hAnsi="宋体" w:cs="宋体"/>
                <w:kern w:val="0"/>
                <w:sz w:val="18"/>
                <w:szCs w:val="18"/>
              </w:rPr>
              <w:t>分</w:t>
            </w:r>
            <w:r>
              <w:rPr>
                <w:rFonts w:hint="eastAsia" w:ascii="宋体" w:hAnsi="宋体" w:cs="宋体"/>
                <w:kern w:val="0"/>
                <w:sz w:val="20"/>
              </w:rPr>
              <w:t>）</w:t>
            </w:r>
          </w:p>
        </w:tc>
        <w:tc>
          <w:tcPr>
            <w:tcW w:w="5171" w:type="dxa"/>
            <w:vAlign w:val="center"/>
          </w:tcPr>
          <w:p>
            <w:pPr>
              <w:widowControl/>
              <w:textAlignment w:val="center"/>
              <w:rPr>
                <w:rFonts w:hint="eastAsia" w:ascii="宋体" w:hAnsi="宋体" w:cs="宋体"/>
                <w:kern w:val="0"/>
                <w:sz w:val="18"/>
                <w:szCs w:val="18"/>
              </w:rPr>
            </w:pPr>
            <w:r>
              <w:rPr>
                <w:rFonts w:hint="eastAsia" w:ascii="宋体" w:hAnsi="宋体" w:cs="宋体"/>
                <w:kern w:val="0"/>
                <w:sz w:val="18"/>
                <w:szCs w:val="18"/>
              </w:rPr>
              <w:t>在厦门或苏州具备本地驻点认证工程师，并提供驻点承诺书。</w:t>
            </w:r>
          </w:p>
          <w:p>
            <w:pPr>
              <w:widowControl/>
              <w:textAlignment w:val="center"/>
              <w:rPr>
                <w:rFonts w:hint="eastAsia" w:ascii="宋体" w:hAnsi="宋体" w:cs="宋体"/>
                <w:sz w:val="18"/>
                <w:szCs w:val="18"/>
              </w:rPr>
            </w:pPr>
            <w:r>
              <w:rPr>
                <w:rFonts w:hint="eastAsia" w:ascii="宋体" w:hAnsi="宋体" w:cs="宋体"/>
                <w:kern w:val="0"/>
                <w:sz w:val="18"/>
                <w:szCs w:val="18"/>
              </w:rPr>
              <w:t>每名厦门驻点工程师+5分，最高10分，每名苏州驻点工程师+5分，最高5分。</w:t>
            </w:r>
          </w:p>
        </w:tc>
        <w:tc>
          <w:tcPr>
            <w:tcW w:w="752"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15</w:t>
            </w:r>
          </w:p>
        </w:tc>
        <w:tc>
          <w:tcPr>
            <w:tcW w:w="1275" w:type="dxa"/>
            <w:vMerge w:val="restart"/>
            <w:vAlign w:val="center"/>
          </w:tcPr>
          <w:p>
            <w:pPr>
              <w:widowControl/>
              <w:jc w:val="left"/>
              <w:textAlignment w:val="center"/>
              <w:rPr>
                <w:rFonts w:hint="eastAsia" w:ascii="宋体" w:hAnsi="宋体" w:cs="宋体"/>
                <w:sz w:val="16"/>
                <w:szCs w:val="16"/>
              </w:rPr>
            </w:pPr>
            <w:r>
              <w:rPr>
                <w:rFonts w:hint="eastAsia" w:ascii="宋体" w:hAnsi="宋体" w:cs="宋体"/>
                <w:kern w:val="0"/>
                <w:sz w:val="16"/>
                <w:szCs w:val="16"/>
              </w:rPr>
              <w:t>在厦门或苏州驻点认证工程师需提供服务承诺书。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561" w:type="dxa"/>
            <w:vMerge w:val="continue"/>
            <w:vAlign w:val="center"/>
          </w:tcPr>
          <w:p>
            <w:pPr>
              <w:widowControl/>
              <w:jc w:val="center"/>
              <w:rPr>
                <w:rFonts w:hint="eastAsia" w:ascii="宋体" w:hAnsi="宋体" w:cs="宋体"/>
                <w:sz w:val="20"/>
              </w:rPr>
            </w:pPr>
          </w:p>
        </w:tc>
        <w:tc>
          <w:tcPr>
            <w:tcW w:w="1816" w:type="dxa"/>
            <w:vMerge w:val="continue"/>
            <w:vAlign w:val="center"/>
          </w:tcPr>
          <w:p>
            <w:pPr>
              <w:widowControl/>
              <w:jc w:val="center"/>
              <w:rPr>
                <w:rFonts w:hint="eastAsia" w:ascii="宋体" w:hAnsi="宋体" w:cs="宋体"/>
                <w:sz w:val="20"/>
              </w:rPr>
            </w:pPr>
          </w:p>
        </w:tc>
        <w:tc>
          <w:tcPr>
            <w:tcW w:w="5171" w:type="dxa"/>
            <w:vAlign w:val="center"/>
          </w:tcPr>
          <w:p>
            <w:pPr>
              <w:widowControl/>
              <w:textAlignment w:val="center"/>
              <w:rPr>
                <w:rFonts w:hint="eastAsia" w:ascii="宋体" w:hAnsi="宋体" w:cs="宋体"/>
                <w:sz w:val="18"/>
                <w:szCs w:val="18"/>
              </w:rPr>
            </w:pPr>
            <w:r>
              <w:rPr>
                <w:rFonts w:hint="eastAsia" w:ascii="宋体" w:hAnsi="宋体" w:cs="宋体"/>
                <w:kern w:val="0"/>
                <w:sz w:val="18"/>
                <w:szCs w:val="18"/>
              </w:rPr>
              <w:t>当前在厦门或苏州无本地驻点认证工程师。</w:t>
            </w:r>
          </w:p>
        </w:tc>
        <w:tc>
          <w:tcPr>
            <w:tcW w:w="752" w:type="dxa"/>
            <w:vAlign w:val="center"/>
          </w:tcPr>
          <w:p>
            <w:pPr>
              <w:widowControl/>
              <w:jc w:val="center"/>
              <w:textAlignment w:val="center"/>
              <w:rPr>
                <w:rFonts w:hint="eastAsia" w:ascii="宋体" w:hAnsi="宋体" w:cs="宋体"/>
                <w:b/>
                <w:bCs/>
                <w:sz w:val="16"/>
                <w:szCs w:val="16"/>
              </w:rPr>
            </w:pPr>
            <w:r>
              <w:rPr>
                <w:rFonts w:hint="eastAsia" w:ascii="宋体" w:hAnsi="宋体" w:cs="宋体"/>
                <w:b/>
                <w:bCs/>
                <w:kern w:val="0"/>
                <w:sz w:val="16"/>
                <w:szCs w:val="16"/>
              </w:rPr>
              <w:t>0</w:t>
            </w:r>
          </w:p>
        </w:tc>
        <w:tc>
          <w:tcPr>
            <w:tcW w:w="1275" w:type="dxa"/>
            <w:vMerge w:val="continue"/>
            <w:vAlign w:val="center"/>
          </w:tcPr>
          <w:p>
            <w:pPr>
              <w:widowControl/>
              <w:jc w:val="left"/>
              <w:rPr>
                <w:rFonts w:hint="eastAsia"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561" w:type="dxa"/>
            <w:vAlign w:val="center"/>
          </w:tcPr>
          <w:p>
            <w:pPr>
              <w:widowControl/>
              <w:jc w:val="center"/>
              <w:textAlignment w:val="center"/>
              <w:rPr>
                <w:rFonts w:hint="eastAsia" w:ascii="宋体" w:hAnsi="宋体" w:cs="宋体"/>
                <w:sz w:val="20"/>
              </w:rPr>
            </w:pPr>
            <w:r>
              <w:rPr>
                <w:rFonts w:hint="eastAsia" w:ascii="宋体" w:hAnsi="宋体" w:cs="宋体"/>
                <w:kern w:val="0"/>
                <w:sz w:val="20"/>
              </w:rPr>
              <w:t>4</w:t>
            </w:r>
          </w:p>
        </w:tc>
        <w:tc>
          <w:tcPr>
            <w:tcW w:w="1816" w:type="dxa"/>
            <w:vAlign w:val="center"/>
          </w:tcPr>
          <w:p>
            <w:pPr>
              <w:widowControl/>
              <w:jc w:val="center"/>
              <w:textAlignment w:val="center"/>
              <w:rPr>
                <w:rFonts w:hint="eastAsia" w:ascii="宋体" w:hAnsi="宋体" w:cs="宋体"/>
                <w:sz w:val="20"/>
              </w:rPr>
            </w:pPr>
            <w:r>
              <w:rPr>
                <w:rFonts w:hint="eastAsia" w:ascii="宋体" w:hAnsi="宋体" w:cs="宋体"/>
                <w:kern w:val="0"/>
                <w:sz w:val="20"/>
              </w:rPr>
              <w:t>服务能力答辩</w:t>
            </w:r>
            <w:r>
              <w:rPr>
                <w:rFonts w:hint="eastAsia" w:ascii="宋体" w:hAnsi="宋体" w:cs="宋体"/>
                <w:kern w:val="0"/>
                <w:sz w:val="20"/>
              </w:rPr>
              <w:br w:type="textWrapping"/>
            </w:r>
            <w:r>
              <w:rPr>
                <w:rFonts w:hint="eastAsia" w:ascii="宋体" w:hAnsi="宋体" w:cs="宋体"/>
                <w:kern w:val="0"/>
                <w:sz w:val="20"/>
              </w:rPr>
              <w:t>（40</w:t>
            </w:r>
            <w:r>
              <w:rPr>
                <w:rFonts w:hint="eastAsia" w:ascii="宋体" w:hAnsi="宋体" w:cs="宋体"/>
                <w:kern w:val="0"/>
                <w:sz w:val="18"/>
                <w:szCs w:val="18"/>
              </w:rPr>
              <w:t>分</w:t>
            </w:r>
            <w:r>
              <w:rPr>
                <w:rFonts w:hint="eastAsia" w:ascii="宋体" w:hAnsi="宋体" w:cs="宋体"/>
                <w:kern w:val="0"/>
                <w:sz w:val="20"/>
              </w:rPr>
              <w:t>）</w:t>
            </w:r>
          </w:p>
        </w:tc>
        <w:tc>
          <w:tcPr>
            <w:tcW w:w="5171" w:type="dxa"/>
            <w:vAlign w:val="center"/>
          </w:tcPr>
          <w:p>
            <w:pPr>
              <w:widowControl/>
              <w:textAlignment w:val="center"/>
              <w:rPr>
                <w:rFonts w:hint="eastAsia" w:ascii="宋体" w:hAnsi="宋体" w:cs="宋体"/>
                <w:kern w:val="0"/>
                <w:sz w:val="18"/>
                <w:szCs w:val="18"/>
              </w:rPr>
            </w:pPr>
            <w:r>
              <w:rPr>
                <w:rFonts w:hint="eastAsia" w:ascii="宋体" w:hAnsi="宋体" w:cs="宋体"/>
                <w:kern w:val="0"/>
                <w:sz w:val="18"/>
                <w:szCs w:val="18"/>
              </w:rPr>
              <w:t>优得40分，良得30分，中得20，一般得10分，未参与答辩的不得分。</w:t>
            </w:r>
            <w:r>
              <w:rPr>
                <w:rFonts w:hint="eastAsia" w:ascii="宋体" w:hAnsi="宋体" w:cs="宋体"/>
                <w:kern w:val="0"/>
                <w:sz w:val="18"/>
                <w:szCs w:val="18"/>
              </w:rPr>
              <w:br w:type="textWrapping"/>
            </w:r>
            <w:r>
              <w:rPr>
                <w:rFonts w:hint="eastAsia" w:ascii="宋体" w:hAnsi="宋体" w:cs="宋体"/>
                <w:kern w:val="0"/>
                <w:sz w:val="18"/>
                <w:szCs w:val="18"/>
              </w:rPr>
              <w:t>优：对项目招标方所在行业情况了解全面细致，对招标方的需求和痛点有深入的调查和了解并有相应的解决方法，主推认证方案优势表述清晰，符合实际且各项服务承诺优秀，对提问回答思路清晰，且逻辑缜密的。</w:t>
            </w:r>
            <w:r>
              <w:rPr>
                <w:rFonts w:hint="eastAsia" w:ascii="宋体" w:hAnsi="宋体" w:cs="宋体"/>
                <w:kern w:val="0"/>
                <w:sz w:val="18"/>
                <w:szCs w:val="18"/>
              </w:rPr>
              <w:br w:type="textWrapping"/>
            </w:r>
            <w:r>
              <w:rPr>
                <w:rFonts w:hint="eastAsia" w:ascii="宋体" w:hAnsi="宋体" w:cs="宋体"/>
                <w:kern w:val="0"/>
                <w:sz w:val="18"/>
                <w:szCs w:val="18"/>
              </w:rPr>
              <w:t>良：对项目招标方所在行业总体情况了解，对招标方的需求和痛点有较深的调查和了解，并有相应的解决方法，对推荐认证方案表述比较清晰，符合实际且各项服务承诺较好，对提问回答思路比较清晰，且逻辑自洽的。</w:t>
            </w:r>
            <w:r>
              <w:rPr>
                <w:rFonts w:hint="eastAsia" w:ascii="宋体" w:hAnsi="宋体" w:cs="宋体"/>
                <w:kern w:val="0"/>
                <w:sz w:val="18"/>
                <w:szCs w:val="18"/>
              </w:rPr>
              <w:br w:type="textWrapping"/>
            </w:r>
            <w:r>
              <w:rPr>
                <w:rFonts w:hint="eastAsia" w:ascii="宋体" w:hAnsi="宋体" w:cs="宋体"/>
                <w:kern w:val="0"/>
                <w:sz w:val="18"/>
                <w:szCs w:val="18"/>
              </w:rPr>
              <w:t>中等：对项目招标方所在行业情况基本了解，对招标方的需求和痛点有一定的调查和了解，并基本有相应的解决方法，对推荐认证方案表述基本完整，各项服务承诺可行，对提问能够给与回答，但逻辑性一般。</w:t>
            </w:r>
            <w:r>
              <w:rPr>
                <w:rFonts w:hint="eastAsia" w:ascii="宋体" w:hAnsi="宋体" w:cs="宋体"/>
                <w:kern w:val="0"/>
                <w:sz w:val="18"/>
                <w:szCs w:val="18"/>
              </w:rPr>
              <w:br w:type="textWrapping"/>
            </w:r>
            <w:r>
              <w:rPr>
                <w:rFonts w:hint="eastAsia" w:ascii="宋体" w:hAnsi="宋体" w:cs="宋体"/>
                <w:kern w:val="0"/>
                <w:sz w:val="18"/>
                <w:szCs w:val="18"/>
              </w:rPr>
              <w:t>一般：对项目招标方所在行业情况粗浅了解，对招标方的需求和痛点未充分认知，未能提出解决方法，对推荐认证方案表述不清，各项服务承诺一般，对提问能回答存在逻辑冲突。</w:t>
            </w:r>
            <w:r>
              <w:rPr>
                <w:rFonts w:hint="eastAsia" w:ascii="宋体" w:hAnsi="宋体" w:cs="宋体"/>
                <w:kern w:val="0"/>
                <w:sz w:val="18"/>
                <w:szCs w:val="18"/>
              </w:rPr>
              <w:br w:type="textWrapping"/>
            </w:r>
            <w:r>
              <w:rPr>
                <w:rFonts w:hint="eastAsia" w:ascii="宋体" w:hAnsi="宋体" w:cs="宋体"/>
                <w:kern w:val="0"/>
                <w:sz w:val="18"/>
                <w:szCs w:val="18"/>
              </w:rPr>
              <w:t>现场答辩顺序将按投标文件递交的顺序进行。每家投标人的述标时间约为20分钟。投标人可安排熟悉投标方案的1-2名代表参与现场述标。</w:t>
            </w:r>
          </w:p>
          <w:p>
            <w:pPr>
              <w:widowControl/>
              <w:textAlignment w:val="center"/>
              <w:rPr>
                <w:rFonts w:hint="eastAsia" w:ascii="宋体" w:hAnsi="宋体" w:cs="宋体"/>
                <w:kern w:val="0"/>
                <w:sz w:val="18"/>
                <w:szCs w:val="18"/>
                <w:u w:val="single"/>
              </w:rPr>
            </w:pPr>
            <w:r>
              <w:rPr>
                <w:rFonts w:hint="eastAsia" w:ascii="宋体" w:hAnsi="宋体" w:cs="宋体"/>
                <w:kern w:val="0"/>
                <w:sz w:val="18"/>
                <w:szCs w:val="18"/>
                <w:u w:val="single"/>
              </w:rPr>
              <w:t>答辩方式为现场答辩或远程视频答辩（若为远程视频答辩，投标人应在应标资料中提供开标时间段远程述标的人员的姓名、联系方式。远程视频答辩采用腾讯视频会议软件连线方式，请提前下载软件。若在开标时间段无法联系到相应的远程投标人员，则视为自动放弃服务能力答辩）</w:t>
            </w:r>
          </w:p>
          <w:p>
            <w:pPr>
              <w:widowControl/>
              <w:textAlignment w:val="center"/>
              <w:rPr>
                <w:rFonts w:hint="eastAsia" w:ascii="宋体" w:hAnsi="宋体" w:cs="宋体"/>
                <w:kern w:val="0"/>
                <w:sz w:val="18"/>
                <w:szCs w:val="18"/>
              </w:rPr>
            </w:pPr>
            <w:r>
              <w:rPr>
                <w:rFonts w:hint="eastAsia" w:ascii="宋体" w:hAnsi="宋体" w:cs="宋体"/>
                <w:kern w:val="0"/>
                <w:sz w:val="18"/>
                <w:szCs w:val="18"/>
                <w:u w:val="single"/>
              </w:rPr>
              <w:t>外资企业代表参与现场答辩的，请自备中外文翻译人员参与！！</w:t>
            </w:r>
          </w:p>
        </w:tc>
        <w:tc>
          <w:tcPr>
            <w:tcW w:w="752" w:type="dxa"/>
            <w:vAlign w:val="center"/>
          </w:tcPr>
          <w:p>
            <w:pPr>
              <w:widowControl/>
              <w:jc w:val="center"/>
              <w:textAlignment w:val="center"/>
              <w:rPr>
                <w:rFonts w:hint="eastAsia" w:ascii="宋体" w:hAnsi="宋体" w:cs="宋体"/>
                <w:b/>
                <w:bCs/>
                <w:sz w:val="18"/>
                <w:szCs w:val="18"/>
              </w:rPr>
            </w:pPr>
            <w:r>
              <w:rPr>
                <w:rFonts w:hint="eastAsia" w:ascii="宋体" w:hAnsi="宋体" w:cs="宋体"/>
                <w:b/>
                <w:bCs/>
                <w:kern w:val="0"/>
                <w:sz w:val="18"/>
                <w:szCs w:val="18"/>
              </w:rPr>
              <w:t>0-40</w:t>
            </w:r>
          </w:p>
        </w:tc>
        <w:tc>
          <w:tcPr>
            <w:tcW w:w="1275" w:type="dxa"/>
            <w:vAlign w:val="center"/>
          </w:tcPr>
          <w:p>
            <w:pPr>
              <w:widowControl/>
              <w:jc w:val="left"/>
              <w:textAlignment w:val="center"/>
              <w:rPr>
                <w:rFonts w:hint="eastAsia" w:ascii="宋体" w:hAnsi="宋体" w:cs="宋体"/>
                <w:sz w:val="16"/>
                <w:szCs w:val="16"/>
              </w:rPr>
            </w:pPr>
            <w:r>
              <w:rPr>
                <w:rFonts w:hint="eastAsia" w:ascii="宋体" w:hAnsi="宋体" w:cs="宋体"/>
                <w:kern w:val="0"/>
                <w:sz w:val="16"/>
                <w:szCs w:val="16"/>
              </w:rPr>
              <w:t>根据投标人所派代表对所提供的主推认证方案、履行服务承诺的方案有针对性地现场阐述的质量及效果进行评审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300" w:type="dxa"/>
            <w:gridSpan w:val="4"/>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rPr>
              <w:t>评分小计（S）（满分100分，权重20%）</w:t>
            </w:r>
          </w:p>
        </w:tc>
        <w:tc>
          <w:tcPr>
            <w:tcW w:w="1275" w:type="dxa"/>
            <w:vAlign w:val="center"/>
          </w:tcPr>
          <w:p>
            <w:pPr>
              <w:widowControl/>
              <w:jc w:val="left"/>
              <w:rPr>
                <w:rFonts w:hint="eastAsia" w:ascii="宋体" w:hAnsi="宋体" w:cs="宋体"/>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575" w:type="dxa"/>
            <w:gridSpan w:val="5"/>
            <w:vAlign w:val="center"/>
          </w:tcPr>
          <w:p>
            <w:pPr>
              <w:widowControl/>
              <w:jc w:val="left"/>
              <w:rPr>
                <w:rFonts w:hint="eastAsia" w:ascii="宋体" w:hAnsi="宋体" w:cs="宋体"/>
                <w:b/>
                <w:bCs/>
                <w:sz w:val="16"/>
                <w:szCs w:val="16"/>
              </w:rPr>
            </w:pPr>
            <w:r>
              <w:rPr>
                <w:rFonts w:hint="eastAsia" w:ascii="宋体" w:hAnsi="宋体" w:cs="宋体"/>
                <w:b/>
                <w:bCs/>
                <w:kern w:val="0"/>
                <w:szCs w:val="21"/>
              </w:rPr>
              <w:t>本表中“-100”表示“不满足当前评分项得分要求的，扣除本表所有得分”。</w:t>
            </w:r>
          </w:p>
        </w:tc>
      </w:tr>
    </w:tbl>
    <w:p>
      <w:pPr>
        <w:rPr>
          <w:rFonts w:hint="eastAsia" w:ascii="等线" w:hAnsi="等线" w:eastAsia="等线"/>
          <w:b/>
          <w:bCs/>
        </w:rPr>
      </w:pPr>
    </w:p>
    <w:p>
      <w:pPr>
        <w:rPr>
          <w:rFonts w:hint="eastAsia" w:ascii="等线" w:hAnsi="等线" w:eastAsia="等线"/>
          <w:b/>
          <w:bCs/>
        </w:rPr>
      </w:pPr>
    </w:p>
    <w:p>
      <w:pPr>
        <w:rPr>
          <w:rFonts w:hint="eastAsia" w:ascii="等线" w:hAnsi="等线" w:eastAsia="等线"/>
          <w:sz w:val="15"/>
          <w:szCs w:val="15"/>
        </w:rPr>
      </w:pPr>
    </w:p>
    <w:p>
      <w:pPr>
        <w:widowControl/>
        <w:ind w:left="638" w:leftChars="304" w:firstLine="0" w:firstLineChars="0"/>
        <w:jc w:val="left"/>
        <w:rPr>
          <w:rFonts w:hint="eastAsia" w:ascii="等线" w:hAnsi="等线" w:eastAsia="等线"/>
          <w:b/>
          <w:bCs/>
          <w:szCs w:val="21"/>
        </w:rPr>
      </w:pPr>
      <w:r>
        <w:rPr>
          <w:rFonts w:ascii="等线" w:hAnsi="等线" w:eastAsia="等线"/>
          <w:sz w:val="15"/>
          <w:szCs w:val="15"/>
        </w:rPr>
        <w:br w:type="page"/>
      </w:r>
      <w:r>
        <w:rPr>
          <w:rFonts w:hint="eastAsia" w:ascii="等线" w:hAnsi="等线" w:eastAsia="等线"/>
          <w:b/>
          <w:bCs/>
          <w:szCs w:val="21"/>
        </w:rPr>
        <w:t>表二：供应商商务价格评审项目/评分标准</w:t>
      </w:r>
    </w:p>
    <w:tbl>
      <w:tblPr>
        <w:tblStyle w:val="11"/>
        <w:tblpPr w:leftFromText="180" w:rightFromText="180" w:vertAnchor="text" w:horzAnchor="page" w:tblpXSpec="center" w:tblpY="517"/>
        <w:tblOverlap w:val="never"/>
        <w:tblW w:w="95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8" w:type="dxa"/>
          </w:tcPr>
          <w:p>
            <w:pPr>
              <w:spacing w:before="60" w:beforeLines="25" w:after="60" w:afterLines="25" w:line="360" w:lineRule="auto"/>
              <w:jc w:val="center"/>
              <w:rPr>
                <w:rFonts w:hint="eastAsia" w:ascii="宋体" w:hAnsi="宋体" w:cs="宋体"/>
                <w:b/>
                <w:sz w:val="24"/>
              </w:rPr>
            </w:pPr>
            <w:r>
              <w:rPr>
                <w:rFonts w:hint="eastAsia" w:ascii="宋体" w:hAnsi="宋体" w:cs="宋体"/>
                <w:b/>
                <w:sz w:val="24"/>
              </w:rPr>
              <w:t>评审方法</w:t>
            </w:r>
          </w:p>
        </w:tc>
        <w:tc>
          <w:tcPr>
            <w:tcW w:w="2050" w:type="dxa"/>
          </w:tcPr>
          <w:p>
            <w:pPr>
              <w:spacing w:before="60" w:beforeLines="25" w:after="60" w:afterLines="25" w:line="360" w:lineRule="auto"/>
              <w:jc w:val="center"/>
              <w:rPr>
                <w:rFonts w:hint="eastAsia" w:ascii="宋体" w:hAnsi="宋体" w:cs="宋体"/>
                <w:b/>
                <w:sz w:val="24"/>
              </w:rPr>
            </w:pPr>
            <w:r>
              <w:rPr>
                <w:rFonts w:hint="eastAsia" w:ascii="宋体" w:hAnsi="宋体" w:cs="宋体"/>
                <w:b/>
                <w:sz w:val="24"/>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8" w:type="dxa"/>
          </w:tcPr>
          <w:p>
            <w:pPr>
              <w:spacing w:before="60" w:beforeLines="25" w:after="60" w:afterLines="25" w:line="360" w:lineRule="auto"/>
              <w:rPr>
                <w:rFonts w:hint="eastAsia" w:ascii="宋体" w:hAnsi="宋体" w:cs="宋体"/>
                <w:b/>
                <w:sz w:val="24"/>
              </w:rPr>
            </w:pPr>
            <w:r>
              <w:rPr>
                <w:rFonts w:ascii="宋体" w:hAnsi="宋体" w:cs="宋体"/>
                <w:b/>
                <w:sz w:val="24"/>
              </w:rPr>
              <w:t>低价优先法：满足招标文件要求且</w:t>
            </w:r>
            <w:r>
              <w:rPr>
                <w:rFonts w:hint="eastAsia" w:ascii="宋体" w:hAnsi="宋体" w:cs="宋体"/>
                <w:b/>
                <w:sz w:val="24"/>
              </w:rPr>
              <w:t>能力得分大于等于25分的投标人中</w:t>
            </w:r>
            <w:r>
              <w:rPr>
                <w:rFonts w:ascii="宋体" w:hAnsi="宋体" w:cs="宋体"/>
                <w:b/>
                <w:sz w:val="24"/>
              </w:rPr>
              <w:t>投标价格</w:t>
            </w:r>
            <w:r>
              <w:rPr>
                <w:rFonts w:hint="eastAsia" w:ascii="宋体" w:hAnsi="宋体" w:cs="宋体"/>
                <w:b/>
                <w:sz w:val="24"/>
              </w:rPr>
              <w:t>（指分项报价表合计的总价）</w:t>
            </w:r>
            <w:r>
              <w:rPr>
                <w:rFonts w:ascii="宋体" w:hAnsi="宋体" w:cs="宋体"/>
                <w:b/>
                <w:sz w:val="24"/>
              </w:rPr>
              <w:t>最低的投标报价作为评标基准价，投标报价得分</w:t>
            </w:r>
            <w:r>
              <w:rPr>
                <w:rFonts w:hint="eastAsia" w:ascii="宋体" w:hAnsi="宋体" w:cs="宋体"/>
                <w:b/>
                <w:sz w:val="24"/>
              </w:rPr>
              <w:t>按以下公式计算：</w:t>
            </w:r>
          </w:p>
          <w:tbl>
            <w:tblPr>
              <w:tblStyle w:val="11"/>
              <w:tblpPr w:leftFromText="180" w:rightFromText="180" w:vertAnchor="text" w:horzAnchor="page" w:tblpX="258" w:tblpY="58"/>
              <w:tblOverlap w:val="never"/>
              <w:tblW w:w="7399" w:type="dxa"/>
              <w:tblInd w:w="0" w:type="dxa"/>
              <w:tblLayout w:type="fixed"/>
              <w:tblCellMar>
                <w:top w:w="0" w:type="dxa"/>
                <w:left w:w="108" w:type="dxa"/>
                <w:bottom w:w="0" w:type="dxa"/>
                <w:right w:w="108" w:type="dxa"/>
              </w:tblCellMar>
            </w:tblPr>
            <w:tblGrid>
              <w:gridCol w:w="2080"/>
              <w:gridCol w:w="3097"/>
              <w:gridCol w:w="2222"/>
            </w:tblGrid>
            <w:tr>
              <w:tblPrEx>
                <w:tblLayout w:type="fixed"/>
                <w:tblCellMar>
                  <w:top w:w="0" w:type="dxa"/>
                  <w:left w:w="108" w:type="dxa"/>
                  <w:bottom w:w="0" w:type="dxa"/>
                  <w:right w:w="108" w:type="dxa"/>
                </w:tblCellMar>
              </w:tblPrEx>
              <w:trPr>
                <w:trHeight w:val="603" w:hRule="atLeast"/>
              </w:trPr>
              <w:tc>
                <w:tcPr>
                  <w:tcW w:w="2080" w:type="dxa"/>
                  <w:vMerge w:val="restart"/>
                  <w:vAlign w:val="center"/>
                </w:tcPr>
                <w:p>
                  <w:pPr>
                    <w:jc w:val="right"/>
                    <w:rPr>
                      <w:rFonts w:hint="eastAsia" w:ascii="宋体" w:hAnsi="宋体" w:cs="宋体"/>
                      <w:b/>
                      <w:sz w:val="24"/>
                    </w:rPr>
                  </w:pPr>
                  <w:r>
                    <w:rPr>
                      <w:rFonts w:hint="eastAsia" w:ascii="宋体" w:hAnsi="宋体" w:cs="宋体"/>
                      <w:b/>
                      <w:sz w:val="24"/>
                    </w:rPr>
                    <w:t>价格得分=</w:t>
                  </w:r>
                </w:p>
              </w:tc>
              <w:tc>
                <w:tcPr>
                  <w:tcW w:w="3097" w:type="dxa"/>
                  <w:tcBorders>
                    <w:bottom w:val="single" w:color="auto" w:sz="4" w:space="0"/>
                  </w:tcBorders>
                  <w:vAlign w:val="center"/>
                </w:tcPr>
                <w:p>
                  <w:pPr>
                    <w:jc w:val="center"/>
                    <w:rPr>
                      <w:rFonts w:hint="eastAsia" w:ascii="宋体" w:hAnsi="宋体" w:cs="宋体"/>
                      <w:b/>
                      <w:sz w:val="24"/>
                    </w:rPr>
                  </w:pPr>
                  <w:r>
                    <w:rPr>
                      <w:rFonts w:ascii="宋体" w:hAnsi="宋体" w:cs="宋体"/>
                      <w:b/>
                      <w:sz w:val="24"/>
                    </w:rPr>
                    <w:t>评标基准价</w:t>
                  </w:r>
                </w:p>
              </w:tc>
              <w:tc>
                <w:tcPr>
                  <w:tcW w:w="2222" w:type="dxa"/>
                  <w:vMerge w:val="restart"/>
                  <w:vAlign w:val="center"/>
                </w:tcPr>
                <w:p>
                  <w:pPr>
                    <w:rPr>
                      <w:rFonts w:hint="eastAsia" w:ascii="宋体" w:hAnsi="宋体" w:cs="宋体"/>
                      <w:b/>
                      <w:sz w:val="24"/>
                    </w:rPr>
                  </w:pPr>
                  <w:r>
                    <w:rPr>
                      <w:rFonts w:hint="eastAsia" w:ascii="宋体" w:hAnsi="宋体" w:cs="宋体"/>
                      <w:b/>
                      <w:sz w:val="24"/>
                    </w:rPr>
                    <w:t>×100</w:t>
                  </w:r>
                </w:p>
              </w:tc>
            </w:tr>
            <w:tr>
              <w:tblPrEx>
                <w:tblLayout w:type="fixed"/>
                <w:tblCellMar>
                  <w:top w:w="0" w:type="dxa"/>
                  <w:left w:w="108" w:type="dxa"/>
                  <w:bottom w:w="0" w:type="dxa"/>
                  <w:right w:w="108" w:type="dxa"/>
                </w:tblCellMar>
              </w:tblPrEx>
              <w:trPr>
                <w:trHeight w:val="624" w:hRule="atLeast"/>
              </w:trPr>
              <w:tc>
                <w:tcPr>
                  <w:tcW w:w="2080" w:type="dxa"/>
                  <w:vMerge w:val="continue"/>
                  <w:vAlign w:val="center"/>
                </w:tcPr>
                <w:p>
                  <w:pPr>
                    <w:jc w:val="center"/>
                    <w:rPr>
                      <w:rFonts w:hint="eastAsia" w:ascii="宋体" w:hAnsi="宋体" w:cs="宋体"/>
                      <w:b/>
                      <w:sz w:val="24"/>
                    </w:rPr>
                  </w:pPr>
                </w:p>
              </w:tc>
              <w:tc>
                <w:tcPr>
                  <w:tcW w:w="3097" w:type="dxa"/>
                  <w:tcBorders>
                    <w:top w:val="single" w:color="auto" w:sz="4" w:space="0"/>
                  </w:tcBorders>
                  <w:vAlign w:val="center"/>
                </w:tcPr>
                <w:p>
                  <w:pPr>
                    <w:jc w:val="center"/>
                    <w:rPr>
                      <w:rFonts w:hint="eastAsia" w:ascii="宋体" w:hAnsi="宋体" w:cs="宋体"/>
                      <w:b/>
                      <w:sz w:val="24"/>
                    </w:rPr>
                  </w:pPr>
                  <w:r>
                    <w:rPr>
                      <w:rFonts w:ascii="宋体" w:hAnsi="宋体" w:cs="宋体"/>
                      <w:b/>
                      <w:sz w:val="24"/>
                    </w:rPr>
                    <w:t>各</w:t>
                  </w:r>
                  <w:r>
                    <w:rPr>
                      <w:rFonts w:hint="eastAsia" w:ascii="宋体" w:hAnsi="宋体" w:cs="宋体"/>
                      <w:b/>
                      <w:sz w:val="24"/>
                    </w:rPr>
                    <w:t>投标人的有效</w:t>
                  </w:r>
                  <w:r>
                    <w:rPr>
                      <w:rFonts w:ascii="宋体" w:hAnsi="宋体" w:cs="宋体"/>
                      <w:b/>
                      <w:sz w:val="24"/>
                    </w:rPr>
                    <w:t>报价</w:t>
                  </w:r>
                </w:p>
              </w:tc>
              <w:tc>
                <w:tcPr>
                  <w:tcW w:w="2222" w:type="dxa"/>
                  <w:vMerge w:val="continue"/>
                  <w:vAlign w:val="center"/>
                </w:tcPr>
                <w:p>
                  <w:pPr>
                    <w:jc w:val="center"/>
                    <w:rPr>
                      <w:rFonts w:hint="eastAsia" w:ascii="宋体" w:hAnsi="宋体" w:cs="宋体"/>
                      <w:b/>
                      <w:sz w:val="24"/>
                    </w:rPr>
                  </w:pPr>
                </w:p>
              </w:tc>
            </w:tr>
          </w:tbl>
          <w:p>
            <w:pPr>
              <w:spacing w:before="60" w:beforeLines="25" w:after="60" w:afterLines="25" w:line="360" w:lineRule="auto"/>
              <w:rPr>
                <w:rFonts w:hint="eastAsia" w:ascii="宋体" w:hAnsi="宋体" w:cs="宋体"/>
                <w:b/>
                <w:sz w:val="24"/>
              </w:rPr>
            </w:pPr>
            <w:r>
              <w:rPr>
                <w:rFonts w:hint="eastAsia" w:ascii="宋体" w:hAnsi="宋体" w:cs="宋体"/>
                <w:b/>
                <w:sz w:val="24"/>
              </w:rPr>
              <w:t>得分计算结果取小数点后的2位有效。</w:t>
            </w:r>
          </w:p>
        </w:tc>
        <w:tc>
          <w:tcPr>
            <w:tcW w:w="2050" w:type="dxa"/>
            <w:vAlign w:val="center"/>
          </w:tcPr>
          <w:p>
            <w:pPr>
              <w:spacing w:before="60" w:beforeLines="25" w:after="60" w:afterLines="25" w:line="360" w:lineRule="auto"/>
              <w:jc w:val="center"/>
              <w:rPr>
                <w:rFonts w:hint="eastAsia" w:ascii="宋体" w:hAnsi="宋体" w:cs="宋体"/>
                <w:b/>
                <w:sz w:val="24"/>
              </w:rPr>
            </w:pPr>
            <w:r>
              <w:rPr>
                <w:rFonts w:hint="eastAsia" w:ascii="宋体" w:hAnsi="宋体" w:cs="宋体"/>
                <w:b/>
                <w:sz w:val="24"/>
              </w:rPr>
              <w:t>100分，</w:t>
            </w:r>
            <w:r>
              <w:rPr>
                <w:rFonts w:hint="eastAsia" w:ascii="宋体" w:hAnsi="宋体" w:cs="宋体"/>
                <w:b/>
                <w:bCs/>
                <w:kern w:val="0"/>
                <w:szCs w:val="21"/>
              </w:rPr>
              <w:t>权重</w:t>
            </w:r>
            <w:r>
              <w:rPr>
                <w:rFonts w:hint="eastAsia" w:ascii="宋体" w:hAnsi="宋体" w:cs="宋体"/>
                <w:b/>
                <w:sz w:val="24"/>
              </w:rPr>
              <w:t>50%</w:t>
            </w:r>
          </w:p>
        </w:tc>
      </w:tr>
    </w:tbl>
    <w:p>
      <w:pPr>
        <w:rPr>
          <w:rFonts w:hint="eastAsia" w:ascii="等线" w:hAnsi="等线" w:eastAsia="等线"/>
          <w:b/>
          <w:bCs/>
          <w:sz w:val="18"/>
          <w:szCs w:val="18"/>
        </w:rPr>
      </w:pPr>
    </w:p>
    <w:sectPr>
      <w:pgSz w:w="11906" w:h="16838"/>
      <w:pgMar w:top="567" w:right="284" w:bottom="851"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E34570"/>
    <w:multiLevelType w:val="singleLevel"/>
    <w:tmpl w:val="B1E34570"/>
    <w:lvl w:ilvl="0" w:tentative="0">
      <w:start w:val="1"/>
      <w:numFmt w:val="decimal"/>
      <w:suff w:val="nothing"/>
      <w:lvlText w:val="%1、"/>
      <w:lvlJc w:val="left"/>
    </w:lvl>
  </w:abstractNum>
  <w:abstractNum w:abstractNumId="1">
    <w:nsid w:val="F9F9D6B1"/>
    <w:multiLevelType w:val="singleLevel"/>
    <w:tmpl w:val="F9F9D6B1"/>
    <w:lvl w:ilvl="0" w:tentative="0">
      <w:start w:val="1"/>
      <w:numFmt w:val="chineseCounting"/>
      <w:suff w:val="nothing"/>
      <w:lvlText w:val="（%1）"/>
      <w:lvlJc w:val="left"/>
      <w:rPr>
        <w:rFonts w:hint="eastAsia"/>
      </w:rPr>
    </w:lvl>
  </w:abstractNum>
  <w:abstractNum w:abstractNumId="2">
    <w:nsid w:val="7F836D36"/>
    <w:multiLevelType w:val="singleLevel"/>
    <w:tmpl w:val="7F836D36"/>
    <w:lvl w:ilvl="0" w:tentative="0">
      <w:start w:val="2"/>
      <w:numFmt w:val="chineseCounting"/>
      <w:suff w:val="nothing"/>
      <w:lvlText w:val="%1、"/>
      <w:lvlJc w:val="left"/>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7906"/>
    <w:rsid w:val="00043010"/>
    <w:rsid w:val="00052384"/>
    <w:rsid w:val="00073CAC"/>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C4FA0"/>
    <w:rsid w:val="002F4E44"/>
    <w:rsid w:val="002F5B8B"/>
    <w:rsid w:val="00321756"/>
    <w:rsid w:val="003223B4"/>
    <w:rsid w:val="003536BD"/>
    <w:rsid w:val="00382ADE"/>
    <w:rsid w:val="003855FD"/>
    <w:rsid w:val="00385C1C"/>
    <w:rsid w:val="003A3465"/>
    <w:rsid w:val="003E3F8F"/>
    <w:rsid w:val="0040408C"/>
    <w:rsid w:val="004061DF"/>
    <w:rsid w:val="00420FE8"/>
    <w:rsid w:val="00441870"/>
    <w:rsid w:val="004622C9"/>
    <w:rsid w:val="0048237D"/>
    <w:rsid w:val="004D34D3"/>
    <w:rsid w:val="00502335"/>
    <w:rsid w:val="005529F3"/>
    <w:rsid w:val="00560705"/>
    <w:rsid w:val="005A3146"/>
    <w:rsid w:val="005A590D"/>
    <w:rsid w:val="005E5FA8"/>
    <w:rsid w:val="00617A00"/>
    <w:rsid w:val="00654F9A"/>
    <w:rsid w:val="00666BC1"/>
    <w:rsid w:val="006B176E"/>
    <w:rsid w:val="006B6A7B"/>
    <w:rsid w:val="007073C9"/>
    <w:rsid w:val="00723765"/>
    <w:rsid w:val="007242A9"/>
    <w:rsid w:val="00724CE0"/>
    <w:rsid w:val="007344EA"/>
    <w:rsid w:val="00773E90"/>
    <w:rsid w:val="00784EA9"/>
    <w:rsid w:val="00785111"/>
    <w:rsid w:val="007A1BA8"/>
    <w:rsid w:val="007A32BB"/>
    <w:rsid w:val="007E72ED"/>
    <w:rsid w:val="007F3C4F"/>
    <w:rsid w:val="00801D6E"/>
    <w:rsid w:val="008271CA"/>
    <w:rsid w:val="008450B7"/>
    <w:rsid w:val="00847DF7"/>
    <w:rsid w:val="00852DB8"/>
    <w:rsid w:val="00871A69"/>
    <w:rsid w:val="0096418D"/>
    <w:rsid w:val="0098516E"/>
    <w:rsid w:val="00985317"/>
    <w:rsid w:val="009B0972"/>
    <w:rsid w:val="009B26D1"/>
    <w:rsid w:val="009F1404"/>
    <w:rsid w:val="00A23D2B"/>
    <w:rsid w:val="00A377CA"/>
    <w:rsid w:val="00A646A2"/>
    <w:rsid w:val="00A81980"/>
    <w:rsid w:val="00A87666"/>
    <w:rsid w:val="00AB2F20"/>
    <w:rsid w:val="00AC13B3"/>
    <w:rsid w:val="00AD3A21"/>
    <w:rsid w:val="00AD7822"/>
    <w:rsid w:val="00AF7DA1"/>
    <w:rsid w:val="00B06412"/>
    <w:rsid w:val="00B55276"/>
    <w:rsid w:val="00B660DB"/>
    <w:rsid w:val="00B857B8"/>
    <w:rsid w:val="00BA3827"/>
    <w:rsid w:val="00BB45F0"/>
    <w:rsid w:val="00BE1AA5"/>
    <w:rsid w:val="00BF6E8D"/>
    <w:rsid w:val="00C26D29"/>
    <w:rsid w:val="00C31999"/>
    <w:rsid w:val="00C3537D"/>
    <w:rsid w:val="00C41956"/>
    <w:rsid w:val="00CB1185"/>
    <w:rsid w:val="00CB5CB7"/>
    <w:rsid w:val="00CC409F"/>
    <w:rsid w:val="00CF7EB6"/>
    <w:rsid w:val="00D02256"/>
    <w:rsid w:val="00D1191E"/>
    <w:rsid w:val="00D15507"/>
    <w:rsid w:val="00D44D39"/>
    <w:rsid w:val="00D53FDF"/>
    <w:rsid w:val="00D55399"/>
    <w:rsid w:val="00E44D16"/>
    <w:rsid w:val="00E91FEB"/>
    <w:rsid w:val="00EA09AD"/>
    <w:rsid w:val="00EA4FE3"/>
    <w:rsid w:val="00EE06F4"/>
    <w:rsid w:val="00EE3E81"/>
    <w:rsid w:val="00F01F45"/>
    <w:rsid w:val="00F33892"/>
    <w:rsid w:val="00F66A1B"/>
    <w:rsid w:val="00F72635"/>
    <w:rsid w:val="00FA301C"/>
    <w:rsid w:val="00FA6120"/>
    <w:rsid w:val="022551BE"/>
    <w:rsid w:val="02BF0A2C"/>
    <w:rsid w:val="28D64C70"/>
    <w:rsid w:val="2A9A6A3F"/>
    <w:rsid w:val="2B265251"/>
    <w:rsid w:val="2C9C69E0"/>
    <w:rsid w:val="2CE360C1"/>
    <w:rsid w:val="308560FA"/>
    <w:rsid w:val="40394773"/>
    <w:rsid w:val="464A4625"/>
    <w:rsid w:val="482960B1"/>
    <w:rsid w:val="4E5464AA"/>
    <w:rsid w:val="5B606120"/>
    <w:rsid w:val="643C6F6D"/>
    <w:rsid w:val="66BA636A"/>
    <w:rsid w:val="66CA10FA"/>
    <w:rsid w:val="681475F9"/>
    <w:rsid w:val="69DC5C4C"/>
    <w:rsid w:val="6F573F19"/>
    <w:rsid w:val="70BF30CF"/>
    <w:rsid w:val="75962494"/>
    <w:rsid w:val="7681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qFormat/>
    <w:uiPriority w:val="0"/>
    <w:rPr>
      <w:b/>
      <w:bCs/>
    </w:rPr>
  </w:style>
  <w:style w:type="paragraph" w:styleId="4">
    <w:name w:val="annotation text"/>
    <w:basedOn w:val="1"/>
    <w:link w:val="19"/>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annotation reference"/>
    <w:basedOn w:val="9"/>
    <w:qFormat/>
    <w:uiPriority w:val="0"/>
    <w:rPr>
      <w:sz w:val="21"/>
      <w:szCs w:val="21"/>
    </w:rPr>
  </w:style>
  <w:style w:type="paragraph" w:styleId="12">
    <w:name w:val="List Paragraph"/>
    <w:basedOn w:val="1"/>
    <w:qFormat/>
    <w:uiPriority w:val="34"/>
    <w:pPr>
      <w:ind w:firstLine="420" w:firstLineChars="200"/>
    </w:pPr>
    <w:rPr>
      <w:rFonts w:ascii="Times New Roman" w:hAnsi="Times New Roman"/>
      <w:sz w:val="24"/>
      <w:szCs w:val="24"/>
    </w:rPr>
  </w:style>
  <w:style w:type="character" w:customStyle="1" w:styleId="13">
    <w:name w:val="font71"/>
    <w:basedOn w:val="9"/>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auto"/>
      <w:sz w:val="20"/>
      <w:szCs w:val="20"/>
      <w:u w:val="none"/>
    </w:rPr>
  </w:style>
  <w:style w:type="character" w:customStyle="1" w:styleId="15">
    <w:name w:val="font61"/>
    <w:basedOn w:val="9"/>
    <w:qFormat/>
    <w:uiPriority w:val="0"/>
    <w:rPr>
      <w:rFonts w:hint="eastAsia" w:ascii="宋体" w:hAnsi="宋体" w:eastAsia="宋体" w:cs="宋体"/>
      <w:color w:val="000000"/>
      <w:sz w:val="20"/>
      <w:szCs w:val="20"/>
      <w:u w:val="none"/>
    </w:rPr>
  </w:style>
  <w:style w:type="character" w:customStyle="1" w:styleId="16">
    <w:name w:val="font81"/>
    <w:basedOn w:val="9"/>
    <w:qFormat/>
    <w:uiPriority w:val="0"/>
    <w:rPr>
      <w:rFonts w:hint="eastAsia" w:ascii="宋体" w:hAnsi="宋体" w:eastAsia="宋体" w:cs="宋体"/>
      <w:b/>
      <w:color w:val="1F497D"/>
      <w:sz w:val="20"/>
      <w:szCs w:val="20"/>
      <w:u w:val="none"/>
    </w:rPr>
  </w:style>
  <w:style w:type="character" w:customStyle="1" w:styleId="17">
    <w:name w:val="font91"/>
    <w:basedOn w:val="9"/>
    <w:qFormat/>
    <w:uiPriority w:val="0"/>
    <w:rPr>
      <w:rFonts w:hint="eastAsia" w:ascii="宋体" w:hAnsi="宋体" w:eastAsia="宋体" w:cs="宋体"/>
      <w:b/>
      <w:color w:val="FF0000"/>
      <w:sz w:val="20"/>
      <w:szCs w:val="20"/>
      <w:u w:val="none"/>
    </w:rPr>
  </w:style>
  <w:style w:type="character" w:customStyle="1" w:styleId="18">
    <w:name w:val="font51"/>
    <w:basedOn w:val="9"/>
    <w:qFormat/>
    <w:uiPriority w:val="0"/>
    <w:rPr>
      <w:rFonts w:hint="eastAsia" w:ascii="宋体" w:hAnsi="宋体" w:eastAsia="宋体" w:cs="宋体"/>
      <w:color w:val="000000"/>
      <w:sz w:val="20"/>
      <w:szCs w:val="20"/>
      <w:u w:val="none"/>
    </w:rPr>
  </w:style>
  <w:style w:type="character" w:customStyle="1" w:styleId="19">
    <w:name w:val="批注文字 字符"/>
    <w:basedOn w:val="9"/>
    <w:link w:val="4"/>
    <w:qFormat/>
    <w:uiPriority w:val="0"/>
    <w:rPr>
      <w:rFonts w:ascii="Calibri" w:hAnsi="Calibri"/>
      <w:kern w:val="2"/>
      <w:sz w:val="21"/>
      <w:szCs w:val="22"/>
    </w:rPr>
  </w:style>
  <w:style w:type="character" w:customStyle="1" w:styleId="20">
    <w:name w:val="批注主题 字符"/>
    <w:basedOn w:val="19"/>
    <w:link w:val="3"/>
    <w:qFormat/>
    <w:uiPriority w:val="0"/>
    <w:rPr>
      <w:rFonts w:ascii="Calibri" w:hAnsi="Calibri"/>
      <w:b/>
      <w:bCs/>
      <w:kern w:val="2"/>
      <w:sz w:val="21"/>
      <w:szCs w:val="22"/>
    </w:rPr>
  </w:style>
  <w:style w:type="character" w:customStyle="1" w:styleId="21">
    <w:name w:val="页眉 字符"/>
    <w:basedOn w:val="9"/>
    <w:link w:val="7"/>
    <w:qFormat/>
    <w:uiPriority w:val="0"/>
    <w:rPr>
      <w:rFonts w:ascii="Calibri" w:hAnsi="Calibri"/>
      <w:kern w:val="2"/>
      <w:sz w:val="18"/>
      <w:szCs w:val="18"/>
    </w:rPr>
  </w:style>
  <w:style w:type="character" w:customStyle="1" w:styleId="22">
    <w:name w:val="页脚 字符"/>
    <w:basedOn w:val="9"/>
    <w:link w:val="6"/>
    <w:qFormat/>
    <w:uiPriority w:val="0"/>
    <w:rPr>
      <w:rFonts w:ascii="Calibri" w:hAnsi="Calibri"/>
      <w:kern w:val="2"/>
      <w:sz w:val="18"/>
      <w:szCs w:val="18"/>
    </w:rPr>
  </w:style>
  <w:style w:type="character" w:customStyle="1" w:styleId="23">
    <w:name w:val="font112"/>
    <w:qFormat/>
    <w:uiPriority w:val="0"/>
    <w:rPr>
      <w:rFonts w:hint="eastAsia" w:ascii="等线" w:hAnsi="等线" w:eastAsia="等线" w:cs="等线"/>
      <w:color w:val="000000"/>
      <w:sz w:val="16"/>
      <w:szCs w:val="16"/>
      <w:u w:val="none"/>
    </w:rPr>
  </w:style>
  <w:style w:type="character" w:customStyle="1" w:styleId="24">
    <w:name w:val="font141"/>
    <w:qFormat/>
    <w:uiPriority w:val="0"/>
    <w:rPr>
      <w:rFonts w:hint="eastAsia" w:ascii="等线" w:hAnsi="等线" w:eastAsia="等线" w:cs="等线"/>
      <w:b/>
      <w:bCs/>
      <w:color w:val="000000"/>
      <w:sz w:val="16"/>
      <w:szCs w:val="16"/>
      <w:u w:val="none"/>
    </w:rPr>
  </w:style>
  <w:style w:type="character" w:customStyle="1" w:styleId="25">
    <w:name w:val="font131"/>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3004</Words>
  <Characters>3109</Characters>
  <Lines>50</Lines>
  <Paragraphs>14</Paragraphs>
  <TotalTime>4</TotalTime>
  <ScaleCrop>false</ScaleCrop>
  <LinksUpToDate>false</LinksUpToDate>
  <CharactersWithSpaces>3117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2025-03-17T05:47:00Z</dcterms:created>
  <dc:creator>chenyaohui</dc:creator>
  <cp:lastModifiedBy>Chen Liyan</cp:lastModifiedBy>
  <dcterms:modified xsi:type="dcterms:W3CDTF">2025-08-23T01:15:37Z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KSOTemplateDocerSaveRecord">
    <vt:lpwstr>eyJoZGlkIjoiMTQ1MmVhOGI3Njk2ZmIwMGNiMjY1YzRhNDZkZjE0OWIiLCJ1c2VySWQiOiI2MDQ3OTg2MTQifQ==</vt:lpwstr>
  </property>
  <property fmtid="{D5CDD505-2E9C-101B-9397-08002B2CF9AE}" pid="4" name="ICV">
    <vt:lpwstr>C87C01A0455F4AAAB74C7CDCC7DA0E14_12</vt:lpwstr>
  </property>
</Properties>
</file>