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宋体" w:eastAsia="黑体"/>
          <w:b/>
          <w:sz w:val="44"/>
          <w:szCs w:val="44"/>
        </w:rPr>
      </w:pPr>
      <w:r>
        <w:rPr>
          <w:rFonts w:hint="eastAsia" w:ascii="黑体" w:hAnsi="宋体" w:eastAsia="黑体"/>
          <w:b/>
          <w:sz w:val="44"/>
          <w:szCs w:val="44"/>
        </w:rPr>
        <w:t>厦门金龙联合汽车工业有限公司</w:t>
      </w:r>
    </w:p>
    <w:p>
      <w:pPr>
        <w:spacing w:line="360" w:lineRule="auto"/>
        <w:rPr>
          <w:rFonts w:hint="eastAsia" w:ascii="黑体" w:hAnsi="宋体" w:eastAsia="黑体"/>
          <w:b/>
          <w:sz w:val="44"/>
          <w:szCs w:val="44"/>
          <w:lang w:eastAsia="zh-CN"/>
        </w:rPr>
      </w:pPr>
    </w:p>
    <w:p>
      <w:pPr>
        <w:spacing w:line="360" w:lineRule="auto"/>
        <w:rPr>
          <w:rFonts w:hint="eastAsia" w:ascii="黑体" w:hAnsi="宋体" w:eastAsia="黑体"/>
          <w:b/>
          <w:sz w:val="44"/>
          <w:szCs w:val="44"/>
          <w:lang w:eastAsia="zh-CN"/>
        </w:rPr>
      </w:pPr>
    </w:p>
    <w:p>
      <w:pPr>
        <w:spacing w:line="360" w:lineRule="auto"/>
        <w:rPr>
          <w:rFonts w:hint="eastAsia" w:ascii="黑体" w:hAnsi="宋体" w:eastAsia="黑体"/>
          <w:b/>
          <w:sz w:val="44"/>
          <w:szCs w:val="44"/>
        </w:rPr>
      </w:pPr>
    </w:p>
    <w:p>
      <w:pPr>
        <w:pageBreakBefore w:val="0"/>
        <w:widowControl w:val="0"/>
        <w:kinsoku/>
        <w:wordWrap/>
        <w:overflowPunct/>
        <w:topLinePunct w:val="0"/>
        <w:autoSpaceDE/>
        <w:autoSpaceDN/>
        <w:bidi w:val="0"/>
        <w:spacing w:line="360" w:lineRule="auto"/>
        <w:jc w:val="center"/>
        <w:textAlignment w:val="auto"/>
        <w:rPr>
          <w:rFonts w:hint="eastAsia" w:ascii="楷体" w:hAnsi="楷体" w:eastAsia="楷体" w:cs="楷体"/>
          <w:b/>
          <w:sz w:val="28"/>
          <w:szCs w:val="28"/>
        </w:rPr>
      </w:pPr>
      <w:r>
        <w:rPr>
          <w:rFonts w:hint="eastAsia" w:ascii="黑体" w:eastAsia="黑体"/>
          <w:b/>
          <w:sz w:val="44"/>
          <w:szCs w:val="44"/>
          <w:lang w:val="en-US" w:eastAsia="zh-CN"/>
        </w:rPr>
        <w:t>轻商</w:t>
      </w:r>
      <w:bookmarkStart w:id="23" w:name="_GoBack"/>
      <w:bookmarkEnd w:id="23"/>
      <w:r>
        <w:rPr>
          <w:rFonts w:hint="eastAsia" w:ascii="黑体" w:eastAsia="黑体"/>
          <w:b/>
          <w:sz w:val="44"/>
          <w:szCs w:val="44"/>
          <w:lang w:val="en-US" w:eastAsia="zh-CN"/>
        </w:rPr>
        <w:t xml:space="preserve">涉水试验池建造技术要求 </w:t>
      </w:r>
    </w:p>
    <w:p>
      <w:pPr>
        <w:adjustRightInd w:val="0"/>
        <w:snapToGrid w:val="0"/>
        <w:spacing w:line="360" w:lineRule="auto"/>
        <w:rPr>
          <w:rFonts w:hint="eastAsia" w:ascii="黑体" w:eastAsia="黑体"/>
          <w:b/>
          <w:sz w:val="44"/>
          <w:szCs w:val="44"/>
          <w:lang w:val="en-US" w:eastAsia="zh-CN"/>
        </w:rPr>
      </w:pPr>
    </w:p>
    <w:p>
      <w:pPr>
        <w:adjustRightInd w:val="0"/>
        <w:snapToGrid w:val="0"/>
        <w:spacing w:line="360" w:lineRule="auto"/>
        <w:rPr>
          <w:rFonts w:hint="eastAsia" w:ascii="黑体" w:eastAsia="黑体"/>
          <w:b/>
          <w:sz w:val="44"/>
          <w:szCs w:val="44"/>
          <w:lang w:val="en-US" w:eastAsia="zh-CN"/>
        </w:rPr>
      </w:pPr>
    </w:p>
    <w:p>
      <w:pPr>
        <w:adjustRightInd w:val="0"/>
        <w:snapToGrid w:val="0"/>
        <w:spacing w:line="360" w:lineRule="auto"/>
        <w:rPr>
          <w:rFonts w:hint="eastAsia" w:ascii="黑体" w:eastAsia="黑体"/>
          <w:b/>
          <w:sz w:val="44"/>
          <w:szCs w:val="44"/>
          <w:lang w:val="en-US" w:eastAsia="zh-CN"/>
        </w:rPr>
      </w:pPr>
    </w:p>
    <w:p>
      <w:pPr>
        <w:adjustRightInd w:val="0"/>
        <w:snapToGrid w:val="0"/>
        <w:spacing w:line="360" w:lineRule="auto"/>
        <w:rPr>
          <w:rFonts w:hint="eastAsia" w:ascii="黑体" w:eastAsia="黑体"/>
          <w:b/>
          <w:sz w:val="44"/>
          <w:szCs w:val="44"/>
          <w:lang w:val="en-US" w:eastAsia="zh-CN"/>
        </w:rPr>
      </w:pPr>
    </w:p>
    <w:p>
      <w:pPr>
        <w:adjustRightInd w:val="0"/>
        <w:snapToGrid w:val="0"/>
        <w:spacing w:line="360" w:lineRule="auto"/>
        <w:rPr>
          <w:rFonts w:hint="eastAsia" w:ascii="黑体" w:eastAsia="黑体"/>
          <w:b/>
          <w:sz w:val="44"/>
          <w:szCs w:val="44"/>
          <w:lang w:val="en-US" w:eastAsia="zh-CN"/>
        </w:rPr>
      </w:pPr>
    </w:p>
    <w:p>
      <w:pPr>
        <w:adjustRightInd w:val="0"/>
        <w:snapToGrid w:val="0"/>
        <w:spacing w:line="360" w:lineRule="auto"/>
        <w:rPr>
          <w:rFonts w:hint="eastAsia" w:ascii="黑体" w:eastAsia="黑体"/>
          <w:b/>
          <w:sz w:val="44"/>
          <w:szCs w:val="44"/>
          <w:lang w:val="en-US" w:eastAsia="zh-CN"/>
        </w:rPr>
      </w:pPr>
    </w:p>
    <w:p>
      <w:pPr>
        <w:adjustRightInd w:val="0"/>
        <w:snapToGrid w:val="0"/>
        <w:spacing w:line="360" w:lineRule="auto"/>
        <w:jc w:val="both"/>
        <w:rPr>
          <w:rFonts w:hint="eastAsia" w:ascii="宋体" w:hAnsi="宋体" w:cs="Arial"/>
          <w:b/>
          <w:sz w:val="30"/>
          <w:szCs w:val="30"/>
        </w:rPr>
      </w:pPr>
    </w:p>
    <w:p>
      <w:pPr>
        <w:adjustRightInd w:val="0"/>
        <w:snapToGrid w:val="0"/>
        <w:spacing w:line="360" w:lineRule="auto"/>
        <w:jc w:val="both"/>
        <w:rPr>
          <w:rFonts w:hint="eastAsia" w:ascii="宋体" w:hAnsi="宋体" w:cs="Arial"/>
          <w:b/>
          <w:sz w:val="30"/>
          <w:szCs w:val="30"/>
        </w:rPr>
      </w:pPr>
    </w:p>
    <w:p>
      <w:pPr>
        <w:adjustRightInd w:val="0"/>
        <w:snapToGrid w:val="0"/>
        <w:spacing w:line="360" w:lineRule="auto"/>
        <w:jc w:val="center"/>
        <w:rPr>
          <w:rFonts w:hint="eastAsia" w:ascii="宋体" w:hAnsi="宋体" w:cs="Arial"/>
          <w:b/>
          <w:sz w:val="30"/>
          <w:szCs w:val="30"/>
        </w:rPr>
      </w:pPr>
      <w:r>
        <w:rPr>
          <w:rFonts w:hint="eastAsia" w:ascii="宋体" w:hAnsi="宋体" w:cs="Arial"/>
          <w:b/>
          <w:sz w:val="30"/>
          <w:szCs w:val="30"/>
        </w:rPr>
        <w:t>厦门金龙联合汽车工业有限公司</w:t>
      </w:r>
    </w:p>
    <w:p>
      <w:pPr>
        <w:jc w:val="center"/>
        <w:rPr>
          <w:rFonts w:hint="eastAsia" w:ascii="楷体_GB2312" w:eastAsia="楷体_GB2312"/>
          <w:b/>
          <w:sz w:val="32"/>
          <w:szCs w:val="32"/>
          <w:lang w:eastAsia="zh-CN"/>
        </w:rPr>
      </w:pPr>
      <w:r>
        <w:rPr>
          <w:rFonts w:hint="eastAsia" w:ascii="楷体_GB2312" w:eastAsia="楷体_GB2312"/>
          <w:b/>
          <w:sz w:val="32"/>
          <w:szCs w:val="32"/>
        </w:rPr>
        <w:t>轻型商用车事业部生产技术</w:t>
      </w:r>
      <w:r>
        <w:rPr>
          <w:rFonts w:hint="eastAsia" w:ascii="楷体_GB2312" w:eastAsia="楷体_GB2312"/>
          <w:b/>
          <w:sz w:val="32"/>
          <w:szCs w:val="32"/>
          <w:lang w:eastAsia="zh-CN"/>
        </w:rPr>
        <w:t>室</w:t>
      </w:r>
    </w:p>
    <w:p>
      <w:pPr>
        <w:adjustRightInd w:val="0"/>
        <w:snapToGrid w:val="0"/>
        <w:spacing w:line="360" w:lineRule="auto"/>
        <w:jc w:val="center"/>
      </w:pPr>
      <w:r>
        <w:rPr>
          <w:rFonts w:ascii="宋体" w:hAnsi="宋体" w:cs="Arial"/>
          <w:b/>
          <w:sz w:val="30"/>
          <w:szCs w:val="30"/>
        </w:rPr>
        <w:t>20</w:t>
      </w:r>
      <w:r>
        <w:rPr>
          <w:rFonts w:hint="eastAsia" w:ascii="宋体" w:hAnsi="宋体" w:cs="Arial"/>
          <w:b/>
          <w:sz w:val="30"/>
          <w:szCs w:val="30"/>
          <w:lang w:val="en-US" w:eastAsia="zh-CN"/>
        </w:rPr>
        <w:t>24</w:t>
      </w:r>
      <w:r>
        <w:rPr>
          <w:rFonts w:hint="eastAsia" w:ascii="宋体" w:hAnsi="宋体" w:cs="Arial"/>
          <w:b/>
          <w:sz w:val="30"/>
          <w:szCs w:val="30"/>
        </w:rPr>
        <w:t>年</w:t>
      </w:r>
      <w:r>
        <w:rPr>
          <w:rFonts w:hint="eastAsia" w:ascii="宋体" w:hAnsi="宋体" w:cs="Arial"/>
          <w:b/>
          <w:sz w:val="30"/>
          <w:szCs w:val="30"/>
          <w:lang w:val="en-US" w:eastAsia="zh-CN"/>
        </w:rPr>
        <w:t>11</w:t>
      </w:r>
      <w:r>
        <w:rPr>
          <w:rFonts w:hint="eastAsia" w:ascii="宋体" w:hAnsi="宋体" w:cs="Arial"/>
          <w:b/>
          <w:sz w:val="30"/>
          <w:szCs w:val="30"/>
        </w:rPr>
        <w:t>月</w:t>
      </w:r>
      <w:r>
        <w:rPr>
          <w:rFonts w:hint="eastAsia" w:ascii="宋体" w:hAnsi="宋体" w:cs="Arial"/>
          <w:b/>
          <w:sz w:val="30"/>
          <w:szCs w:val="30"/>
          <w:lang w:val="en-US" w:eastAsia="zh-CN"/>
        </w:rPr>
        <w:t>12</w:t>
      </w:r>
      <w:r>
        <w:rPr>
          <w:rFonts w:hint="eastAsia" w:ascii="宋体" w:hAnsi="宋体" w:cs="Arial"/>
          <w:b/>
          <w:sz w:val="30"/>
          <w:szCs w:val="30"/>
        </w:rPr>
        <w:t>日</w:t>
      </w:r>
    </w:p>
    <w:p>
      <w:pPr>
        <w:adjustRightInd w:val="0"/>
        <w:snapToGrid w:val="0"/>
        <w:spacing w:line="360" w:lineRule="auto"/>
        <w:jc w:val="center"/>
        <w:rPr>
          <w:sz w:val="30"/>
          <w:highlight w:val="none"/>
        </w:rPr>
        <w:sectPr>
          <w:footerReference r:id="rId3" w:type="default"/>
          <w:pgSz w:w="11910" w:h="16840"/>
          <w:pgMar w:top="1600" w:right="1100" w:bottom="1100" w:left="1260" w:header="0" w:footer="915" w:gutter="0"/>
          <w:pgNumType w:fmt="decimal" w:start="1"/>
          <w:cols w:space="720" w:num="1"/>
        </w:sectPr>
      </w:pPr>
    </w:p>
    <w:sdt>
      <w:sdtPr>
        <w:rPr>
          <w:rFonts w:ascii="宋体" w:hAnsi="宋体" w:eastAsia="宋体" w:cstheme="minorBidi"/>
          <w:kern w:val="2"/>
          <w:sz w:val="21"/>
          <w:szCs w:val="24"/>
          <w:lang w:val="en-US" w:eastAsia="zh-CN" w:bidi="ar-SA"/>
        </w:rPr>
        <w:id w:val="147482212"/>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3475_WPSOffice_Type1"/>
          <w:r>
            <w:rPr>
              <w:rFonts w:ascii="宋体" w:hAnsi="宋体" w:eastAsia="宋体"/>
              <w:sz w:val="72"/>
              <w:szCs w:val="72"/>
            </w:rPr>
            <w:t>目录</w:t>
          </w:r>
        </w:p>
        <w:p>
          <w:pPr>
            <w:pStyle w:val="8"/>
            <w:tabs>
              <w:tab w:val="right" w:leader="dot" w:pos="8306"/>
            </w:tabs>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_Toc3987_WPSOffice_Level1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sz w:val="32"/>
                <w:szCs w:val="32"/>
              </w:rPr>
              <w:id w:val="147482212"/>
              <w:placeholder>
                <w:docPart w:val="{93d8eb9c-cdb3-42ea-ac68-32726046cf46}"/>
              </w:placeholder>
            </w:sdtPr>
            <w:sdtEndPr>
              <w:rPr>
                <w:rFonts w:hint="eastAsia" w:asciiTheme="majorEastAsia" w:hAnsiTheme="majorEastAsia" w:eastAsiaTheme="majorEastAsia" w:cstheme="majorEastAsia"/>
                <w:sz w:val="32"/>
                <w:szCs w:val="32"/>
              </w:rPr>
            </w:sdtEndPr>
            <w:sdtContent>
              <w:r>
                <w:rPr>
                  <w:rFonts w:hint="eastAsia" w:asciiTheme="majorEastAsia" w:hAnsiTheme="majorEastAsia" w:eastAsiaTheme="majorEastAsia" w:cstheme="majorEastAsia"/>
                  <w:sz w:val="32"/>
                  <w:szCs w:val="32"/>
                </w:rPr>
                <w:t>一、概况介绍</w:t>
              </w:r>
            </w:sdtContent>
          </w:sdt>
          <w:r>
            <w:rPr>
              <w:rFonts w:hint="eastAsia" w:asciiTheme="majorEastAsia" w:hAnsiTheme="majorEastAsia" w:eastAsiaTheme="majorEastAsia" w:cstheme="majorEastAsia"/>
              <w:sz w:val="32"/>
              <w:szCs w:val="32"/>
            </w:rPr>
            <w:tab/>
          </w:r>
          <w:bookmarkStart w:id="1" w:name="_Toc3987_WPSOffice_Level1Page"/>
          <w:r>
            <w:rPr>
              <w:rFonts w:hint="eastAsia" w:asciiTheme="majorEastAsia" w:hAnsiTheme="majorEastAsia" w:eastAsiaTheme="majorEastAsia" w:cstheme="majorEastAsia"/>
              <w:sz w:val="32"/>
              <w:szCs w:val="32"/>
            </w:rPr>
            <w:t>2</w:t>
          </w:r>
          <w:bookmarkEnd w:id="1"/>
          <w:r>
            <w:rPr>
              <w:rFonts w:hint="eastAsia" w:asciiTheme="majorEastAsia" w:hAnsiTheme="majorEastAsia" w:eastAsiaTheme="majorEastAsia" w:cstheme="majorEastAsia"/>
              <w:sz w:val="32"/>
              <w:szCs w:val="32"/>
            </w:rPr>
            <w:fldChar w:fldCharType="end"/>
          </w:r>
        </w:p>
        <w:p>
          <w:pPr>
            <w:pStyle w:val="8"/>
            <w:tabs>
              <w:tab w:val="right" w:leader="dot" w:pos="8306"/>
            </w:tabs>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_Toc13475_WPSOffice_Level1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sz w:val="32"/>
                <w:szCs w:val="32"/>
              </w:rPr>
              <w:id w:val="147482212"/>
              <w:placeholder>
                <w:docPart w:val="{8ebc9e34-5af7-4972-839e-fd1fee1771b6}"/>
              </w:placeholder>
            </w:sdtPr>
            <w:sdtEndPr>
              <w:rPr>
                <w:rFonts w:hint="eastAsia" w:asciiTheme="majorEastAsia" w:hAnsiTheme="majorEastAsia" w:eastAsiaTheme="majorEastAsia" w:cstheme="majorEastAsia"/>
                <w:sz w:val="32"/>
                <w:szCs w:val="32"/>
              </w:rPr>
            </w:sdtEndPr>
            <w:sdtContent>
              <w:r>
                <w:rPr>
                  <w:rFonts w:hint="eastAsia" w:asciiTheme="majorEastAsia" w:hAnsiTheme="majorEastAsia" w:eastAsiaTheme="majorEastAsia" w:cstheme="majorEastAsia"/>
                  <w:sz w:val="32"/>
                  <w:szCs w:val="32"/>
                </w:rPr>
                <w:t>二、工程内容</w:t>
              </w:r>
            </w:sdtContent>
          </w:sdt>
          <w:r>
            <w:rPr>
              <w:rFonts w:hint="eastAsia" w:asciiTheme="majorEastAsia" w:hAnsiTheme="majorEastAsia" w:eastAsiaTheme="majorEastAsia" w:cstheme="majorEastAsia"/>
              <w:sz w:val="32"/>
              <w:szCs w:val="32"/>
            </w:rPr>
            <w:tab/>
          </w:r>
          <w:bookmarkStart w:id="2" w:name="_Toc13475_WPSOffice_Level1Page"/>
          <w:r>
            <w:rPr>
              <w:rFonts w:hint="eastAsia" w:asciiTheme="majorEastAsia" w:hAnsiTheme="majorEastAsia" w:eastAsiaTheme="majorEastAsia" w:cstheme="majorEastAsia"/>
              <w:sz w:val="32"/>
              <w:szCs w:val="32"/>
            </w:rPr>
            <w:t>3</w:t>
          </w:r>
          <w:bookmarkEnd w:id="2"/>
          <w:r>
            <w:rPr>
              <w:rFonts w:hint="eastAsia" w:asciiTheme="majorEastAsia" w:hAnsiTheme="majorEastAsia" w:eastAsiaTheme="majorEastAsia" w:cstheme="majorEastAsia"/>
              <w:sz w:val="32"/>
              <w:szCs w:val="32"/>
            </w:rPr>
            <w:fldChar w:fldCharType="end"/>
          </w:r>
        </w:p>
        <w:p>
          <w:pPr>
            <w:pStyle w:val="8"/>
            <w:tabs>
              <w:tab w:val="right" w:leader="dot" w:pos="8306"/>
            </w:tabs>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_Toc21478_WPSOffice_Level1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sz w:val="32"/>
                <w:szCs w:val="32"/>
              </w:rPr>
              <w:id w:val="147482212"/>
              <w:placeholder>
                <w:docPart w:val="{3abdb8af-3d1c-44f0-9f67-1809159c1714}"/>
              </w:placeholder>
            </w:sdtPr>
            <w:sdtEndPr>
              <w:rPr>
                <w:rFonts w:hint="eastAsia" w:asciiTheme="majorEastAsia" w:hAnsiTheme="majorEastAsia" w:eastAsiaTheme="majorEastAsia" w:cstheme="majorEastAsia"/>
                <w:sz w:val="32"/>
                <w:szCs w:val="32"/>
              </w:rPr>
            </w:sdtEndPr>
            <w:sdtContent>
              <w:r>
                <w:rPr>
                  <w:rFonts w:hint="eastAsia" w:asciiTheme="majorEastAsia" w:hAnsiTheme="majorEastAsia" w:eastAsiaTheme="majorEastAsia" w:cstheme="majorEastAsia"/>
                  <w:sz w:val="32"/>
                  <w:szCs w:val="32"/>
                </w:rPr>
                <w:t>三、工程进度要求</w:t>
              </w:r>
            </w:sdtContent>
          </w:sdt>
          <w:r>
            <w:rPr>
              <w:rFonts w:hint="eastAsia" w:asciiTheme="majorEastAsia" w:hAnsiTheme="majorEastAsia" w:eastAsiaTheme="majorEastAsia" w:cstheme="majorEastAsia"/>
              <w:sz w:val="32"/>
              <w:szCs w:val="32"/>
            </w:rPr>
            <w:tab/>
          </w:r>
          <w:bookmarkStart w:id="3" w:name="_Toc21478_WPSOffice_Level1Page"/>
          <w:r>
            <w:rPr>
              <w:rFonts w:hint="eastAsia" w:asciiTheme="majorEastAsia" w:hAnsiTheme="majorEastAsia" w:eastAsiaTheme="majorEastAsia" w:cstheme="majorEastAsia"/>
              <w:sz w:val="32"/>
              <w:szCs w:val="32"/>
            </w:rPr>
            <w:t>3</w:t>
          </w:r>
          <w:bookmarkEnd w:id="3"/>
          <w:r>
            <w:rPr>
              <w:rFonts w:hint="eastAsia" w:asciiTheme="majorEastAsia" w:hAnsiTheme="majorEastAsia" w:eastAsiaTheme="majorEastAsia" w:cstheme="majorEastAsia"/>
              <w:sz w:val="32"/>
              <w:szCs w:val="32"/>
            </w:rPr>
            <w:fldChar w:fldCharType="end"/>
          </w:r>
        </w:p>
        <w:p>
          <w:pPr>
            <w:pStyle w:val="8"/>
            <w:tabs>
              <w:tab w:val="right" w:leader="dot" w:pos="8306"/>
            </w:tabs>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_Toc20153_WPSOffice_Level1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sz w:val="32"/>
                <w:szCs w:val="32"/>
              </w:rPr>
              <w:id w:val="147482212"/>
              <w:placeholder>
                <w:docPart w:val="{c267f63b-c093-42da-9525-d99490d3d1e3}"/>
              </w:placeholder>
            </w:sdtPr>
            <w:sdtEndPr>
              <w:rPr>
                <w:rFonts w:hint="eastAsia" w:asciiTheme="majorEastAsia" w:hAnsiTheme="majorEastAsia" w:eastAsiaTheme="majorEastAsia" w:cstheme="majorEastAsia"/>
                <w:sz w:val="32"/>
                <w:szCs w:val="32"/>
              </w:rPr>
            </w:sdtEndPr>
            <w:sdtContent>
              <w:r>
                <w:rPr>
                  <w:rFonts w:hint="eastAsia" w:asciiTheme="majorEastAsia" w:hAnsiTheme="majorEastAsia" w:eastAsiaTheme="majorEastAsia" w:cstheme="majorEastAsia"/>
                  <w:sz w:val="32"/>
                  <w:szCs w:val="32"/>
                </w:rPr>
                <w:t>四、技术要求</w:t>
              </w:r>
            </w:sdtContent>
          </w:sdt>
          <w:r>
            <w:rPr>
              <w:rFonts w:hint="eastAsia" w:asciiTheme="majorEastAsia" w:hAnsiTheme="majorEastAsia" w:eastAsiaTheme="majorEastAsia" w:cstheme="majorEastAsia"/>
              <w:sz w:val="32"/>
              <w:szCs w:val="32"/>
            </w:rPr>
            <w:tab/>
          </w:r>
          <w:bookmarkStart w:id="4" w:name="_Toc20153_WPSOffice_Level1Page"/>
          <w:r>
            <w:rPr>
              <w:rFonts w:hint="eastAsia" w:asciiTheme="majorEastAsia" w:hAnsiTheme="majorEastAsia" w:eastAsiaTheme="majorEastAsia" w:cstheme="majorEastAsia"/>
              <w:sz w:val="32"/>
              <w:szCs w:val="32"/>
            </w:rPr>
            <w:t>3</w:t>
          </w:r>
          <w:bookmarkEnd w:id="4"/>
          <w:r>
            <w:rPr>
              <w:rFonts w:hint="eastAsia" w:asciiTheme="majorEastAsia" w:hAnsiTheme="majorEastAsia" w:eastAsiaTheme="majorEastAsia" w:cstheme="majorEastAsia"/>
              <w:sz w:val="32"/>
              <w:szCs w:val="32"/>
            </w:rPr>
            <w:fldChar w:fldCharType="end"/>
          </w:r>
        </w:p>
        <w:p>
          <w:pPr>
            <w:pStyle w:val="8"/>
            <w:tabs>
              <w:tab w:val="right" w:leader="dot" w:pos="8306"/>
            </w:tabs>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_Toc31576_WPSOffice_Level1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sz w:val="32"/>
                <w:szCs w:val="32"/>
              </w:rPr>
              <w:id w:val="147482212"/>
              <w:placeholder>
                <w:docPart w:val="{557f5e6d-e431-4adb-95d9-7e20d13f8144}"/>
              </w:placeholder>
            </w:sdtPr>
            <w:sdtEndPr>
              <w:rPr>
                <w:rFonts w:hint="eastAsia" w:asciiTheme="majorEastAsia" w:hAnsiTheme="majorEastAsia" w:eastAsiaTheme="majorEastAsia" w:cstheme="majorEastAsia"/>
                <w:sz w:val="32"/>
                <w:szCs w:val="32"/>
              </w:rPr>
            </w:sdtEndPr>
            <w:sdtContent>
              <w:r>
                <w:rPr>
                  <w:rFonts w:hint="eastAsia" w:asciiTheme="majorEastAsia" w:hAnsiTheme="majorEastAsia" w:eastAsiaTheme="majorEastAsia" w:cstheme="majorEastAsia"/>
                  <w:sz w:val="32"/>
                  <w:szCs w:val="32"/>
                </w:rPr>
                <w:t>五、验收</w:t>
              </w:r>
            </w:sdtContent>
          </w:sdt>
          <w:r>
            <w:rPr>
              <w:rFonts w:hint="eastAsia" w:asciiTheme="majorEastAsia" w:hAnsiTheme="majorEastAsia" w:eastAsiaTheme="majorEastAsia" w:cstheme="majorEastAsia"/>
              <w:sz w:val="32"/>
              <w:szCs w:val="32"/>
            </w:rPr>
            <w:tab/>
          </w:r>
          <w:bookmarkStart w:id="5" w:name="_Toc31576_WPSOffice_Level1Page"/>
          <w:r>
            <w:rPr>
              <w:rFonts w:hint="eastAsia" w:asciiTheme="majorEastAsia" w:hAnsiTheme="majorEastAsia" w:eastAsiaTheme="majorEastAsia" w:cstheme="majorEastAsia"/>
              <w:sz w:val="32"/>
              <w:szCs w:val="32"/>
            </w:rPr>
            <w:t>7</w:t>
          </w:r>
          <w:bookmarkEnd w:id="5"/>
          <w:r>
            <w:rPr>
              <w:rFonts w:hint="eastAsia" w:asciiTheme="majorEastAsia" w:hAnsiTheme="majorEastAsia" w:eastAsiaTheme="majorEastAsia" w:cstheme="majorEastAsia"/>
              <w:sz w:val="32"/>
              <w:szCs w:val="32"/>
            </w:rPr>
            <w:fldChar w:fldCharType="end"/>
          </w:r>
        </w:p>
        <w:p>
          <w:pPr>
            <w:pStyle w:val="8"/>
            <w:tabs>
              <w:tab w:val="right" w:leader="dot" w:pos="8306"/>
            </w:tabs>
            <w:rPr>
              <w:rFonts w:ascii="Times New Roman" w:hAnsi="Times New Roman" w:eastAsia="宋体" w:cs="Times New Roman"/>
              <w:sz w:val="20"/>
              <w:szCs w:val="20"/>
            </w:rPr>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 HYPERLINK \l _Toc26977_WPSOffice_Level1 </w:instrText>
          </w:r>
          <w:r>
            <w:rPr>
              <w:rFonts w:hint="eastAsia" w:asciiTheme="majorEastAsia" w:hAnsiTheme="majorEastAsia" w:eastAsiaTheme="majorEastAsia" w:cstheme="majorEastAsia"/>
              <w:sz w:val="32"/>
              <w:szCs w:val="32"/>
            </w:rPr>
            <w:fldChar w:fldCharType="separate"/>
          </w:r>
          <w:sdt>
            <w:sdtPr>
              <w:rPr>
                <w:rFonts w:hint="eastAsia" w:asciiTheme="majorEastAsia" w:hAnsiTheme="majorEastAsia" w:eastAsiaTheme="majorEastAsia" w:cstheme="majorEastAsia"/>
                <w:sz w:val="32"/>
                <w:szCs w:val="32"/>
              </w:rPr>
              <w:id w:val="147482212"/>
              <w:placeholder>
                <w:docPart w:val="{4f6c3906-25e6-443e-96d4-8c544050e351}"/>
              </w:placeholder>
            </w:sdtPr>
            <w:sdtEndPr>
              <w:rPr>
                <w:rFonts w:hint="eastAsia" w:asciiTheme="majorEastAsia" w:hAnsiTheme="majorEastAsia" w:eastAsiaTheme="majorEastAsia" w:cstheme="majorEastAsia"/>
                <w:sz w:val="32"/>
                <w:szCs w:val="32"/>
              </w:rPr>
            </w:sdtEndPr>
            <w:sdtContent>
              <w:r>
                <w:rPr>
                  <w:rFonts w:hint="eastAsia" w:asciiTheme="majorEastAsia" w:hAnsiTheme="majorEastAsia" w:eastAsiaTheme="majorEastAsia" w:cstheme="majorEastAsia"/>
                  <w:sz w:val="32"/>
                  <w:szCs w:val="32"/>
                </w:rPr>
                <w:t>六、质保、售后服务</w:t>
              </w:r>
            </w:sdtContent>
          </w:sdt>
          <w:r>
            <w:rPr>
              <w:rFonts w:hint="eastAsia" w:asciiTheme="majorEastAsia" w:hAnsiTheme="majorEastAsia" w:eastAsiaTheme="majorEastAsia" w:cstheme="majorEastAsia"/>
              <w:sz w:val="32"/>
              <w:szCs w:val="32"/>
            </w:rPr>
            <w:tab/>
          </w:r>
          <w:bookmarkStart w:id="6" w:name="_Toc26977_WPSOffice_Level1Page"/>
          <w:r>
            <w:rPr>
              <w:rFonts w:hint="eastAsia" w:asciiTheme="majorEastAsia" w:hAnsiTheme="majorEastAsia" w:eastAsiaTheme="majorEastAsia" w:cstheme="majorEastAsia"/>
              <w:sz w:val="32"/>
              <w:szCs w:val="32"/>
            </w:rPr>
            <w:t>7</w:t>
          </w:r>
          <w:bookmarkEnd w:id="6"/>
          <w:r>
            <w:rPr>
              <w:rFonts w:hint="eastAsia" w:asciiTheme="majorEastAsia" w:hAnsiTheme="majorEastAsia" w:eastAsiaTheme="majorEastAsia" w:cstheme="majorEastAsia"/>
              <w:sz w:val="32"/>
              <w:szCs w:val="32"/>
            </w:rPr>
            <w:fldChar w:fldCharType="end"/>
          </w:r>
          <w:bookmarkEnd w:id="0"/>
        </w:p>
      </w:sdtContent>
    </w:sdt>
    <w:p>
      <w:pPr>
        <w:pStyle w:val="8"/>
        <w:tabs>
          <w:tab w:val="right" w:leader="dot" w:pos="8306"/>
        </w:tabs>
        <w:rPr>
          <w:rFonts w:ascii="Times New Roman" w:hAnsi="Times New Roman" w:eastAsia="宋体" w:cs="Times New Roman"/>
          <w:sz w:val="20"/>
          <w:szCs w:val="20"/>
        </w:rPr>
      </w:pPr>
    </w:p>
    <w:p>
      <w:pPr>
        <w:rPr>
          <w:rFonts w:ascii="Times New Roman" w:hAnsi="Times New Roman" w:eastAsia="宋体" w:cs="Times New Roman"/>
          <w:sz w:val="20"/>
          <w:szCs w:val="20"/>
        </w:rPr>
      </w:pPr>
    </w:p>
    <w:p>
      <w:pPr>
        <w:pStyle w:val="8"/>
        <w:tabs>
          <w:tab w:val="right" w:leader="dot" w:pos="8306"/>
        </w:tabs>
        <w:rPr>
          <w:rFonts w:ascii="Times New Roman" w:hAnsi="Times New Roman" w:eastAsia="宋体" w:cs="Times New Roman"/>
          <w:sz w:val="20"/>
          <w:szCs w:val="20"/>
        </w:rPr>
      </w:pPr>
      <w:r>
        <w:rPr>
          <w:rFonts w:ascii="Times New Roman" w:hAnsi="Times New Roman" w:eastAsia="宋体" w:cs="Times New Roman"/>
          <w:sz w:val="20"/>
          <w:szCs w:val="20"/>
        </w:rPr>
        <w:br w:type="page"/>
      </w:r>
    </w:p>
    <w:p>
      <w:pPr>
        <w:keepNext w:val="0"/>
        <w:keepLines w:val="0"/>
        <w:pageBreakBefore w:val="0"/>
        <w:kinsoku/>
        <w:wordWrap/>
        <w:overflowPunct/>
        <w:topLinePunct w:val="0"/>
        <w:bidi w:val="0"/>
        <w:spacing w:line="348" w:lineRule="auto"/>
        <w:ind w:firstLine="480" w:firstLineChars="200"/>
        <w:jc w:val="left"/>
        <w:textAlignment w:val="auto"/>
        <w:rPr>
          <w:rFonts w:hint="eastAsia" w:ascii="Times New Roman" w:hAnsi="Times New Roman" w:eastAsia="宋体" w:cs="Times New Roman"/>
          <w:sz w:val="24"/>
          <w:highlight w:val="none"/>
          <w:lang w:eastAsia="zh-CN"/>
        </w:rPr>
      </w:pPr>
      <w:bookmarkStart w:id="7" w:name="_Toc6233_WPSOffice_Level1"/>
      <w:r>
        <w:rPr>
          <w:rFonts w:hint="eastAsia" w:ascii="Times New Roman" w:hAnsi="Times New Roman" w:eastAsia="宋体" w:cs="Times New Roman"/>
          <w:sz w:val="24"/>
          <w:highlight w:val="none"/>
          <w:lang w:eastAsia="zh-CN"/>
        </w:rPr>
        <w:t>本项目为交钥匙工程，下文中所提甲方、乙方定义为：</w:t>
      </w:r>
    </w:p>
    <w:p>
      <w:pPr>
        <w:keepNext w:val="0"/>
        <w:keepLines w:val="0"/>
        <w:pageBreakBefore w:val="0"/>
        <w:kinsoku/>
        <w:wordWrap/>
        <w:overflowPunct/>
        <w:topLinePunct w:val="0"/>
        <w:bidi w:val="0"/>
        <w:spacing w:line="348" w:lineRule="auto"/>
        <w:ind w:firstLine="480" w:firstLineChars="200"/>
        <w:jc w:val="left"/>
        <w:textAlignment w:val="auto"/>
        <w:rPr>
          <w:rFonts w:hint="eastAsia" w:ascii="Times New Roman" w:hAnsi="Times New Roman" w:eastAsia="宋体" w:cs="Times New Roman"/>
          <w:sz w:val="24"/>
          <w:highlight w:val="none"/>
          <w:lang w:eastAsia="zh-CN"/>
        </w:rPr>
      </w:pPr>
      <w:r>
        <w:rPr>
          <w:rFonts w:hint="eastAsia" w:ascii="Times New Roman" w:hAnsi="Times New Roman" w:eastAsia="宋体" w:cs="Times New Roman"/>
          <w:sz w:val="24"/>
          <w:highlight w:val="none"/>
          <w:lang w:eastAsia="zh-CN"/>
        </w:rPr>
        <w:t>甲方：厦门金龙联合汽车工业有限公司</w:t>
      </w:r>
      <w:r>
        <w:rPr>
          <w:rFonts w:hint="eastAsia" w:eastAsia="宋体" w:cs="Times New Roman"/>
          <w:sz w:val="24"/>
          <w:highlight w:val="none"/>
          <w:lang w:eastAsia="zh-CN"/>
        </w:rPr>
        <w:t>（涉水试验池建造</w:t>
      </w:r>
      <w:r>
        <w:rPr>
          <w:rFonts w:hint="eastAsia" w:ascii="宋体" w:hAnsi="宋体" w:cs="Times New Roman"/>
          <w:color w:val="000000"/>
          <w:sz w:val="24"/>
          <w:lang w:val="en-US" w:eastAsia="zh-CN"/>
        </w:rPr>
        <w:t>需求方</w:t>
      </w:r>
      <w:r>
        <w:rPr>
          <w:rFonts w:hint="eastAsia" w:eastAsia="宋体" w:cs="Times New Roman"/>
          <w:sz w:val="24"/>
          <w:highlight w:val="none"/>
          <w:lang w:eastAsia="zh-CN"/>
        </w:rPr>
        <w:t>）</w:t>
      </w:r>
    </w:p>
    <w:p>
      <w:pPr>
        <w:keepNext w:val="0"/>
        <w:keepLines w:val="0"/>
        <w:pageBreakBefore w:val="0"/>
        <w:kinsoku/>
        <w:wordWrap/>
        <w:overflowPunct/>
        <w:topLinePunct w:val="0"/>
        <w:bidi w:val="0"/>
        <w:spacing w:line="348" w:lineRule="auto"/>
        <w:ind w:firstLine="480" w:firstLineChars="200"/>
        <w:jc w:val="left"/>
        <w:textAlignment w:val="auto"/>
        <w:rPr>
          <w:rFonts w:hint="eastAsia" w:asciiTheme="minorEastAsia" w:hAnsiTheme="minorEastAsia" w:cstheme="minorEastAsia"/>
          <w:b/>
          <w:sz w:val="24"/>
          <w:szCs w:val="24"/>
          <w:highlight w:val="none"/>
          <w:lang w:val="en-US" w:eastAsia="zh-CN"/>
        </w:rPr>
      </w:pPr>
      <w:r>
        <w:rPr>
          <w:rFonts w:hint="eastAsia" w:ascii="Times New Roman" w:hAnsi="Times New Roman" w:eastAsia="宋体" w:cs="Times New Roman"/>
          <w:sz w:val="24"/>
          <w:highlight w:val="none"/>
          <w:lang w:eastAsia="zh-CN"/>
        </w:rPr>
        <w:t>乙方：涉水试验池建造方</w:t>
      </w:r>
    </w:p>
    <w:p>
      <w:pPr>
        <w:keepNext w:val="0"/>
        <w:keepLines w:val="0"/>
        <w:pageBreakBefore w:val="0"/>
        <w:numPr>
          <w:ilvl w:val="0"/>
          <w:numId w:val="0"/>
        </w:numPr>
        <w:kinsoku/>
        <w:wordWrap/>
        <w:overflowPunct/>
        <w:topLinePunct w:val="0"/>
        <w:bidi w:val="0"/>
        <w:spacing w:line="348" w:lineRule="auto"/>
        <w:ind w:leftChars="0"/>
        <w:textAlignment w:val="auto"/>
        <w:rPr>
          <w:rFonts w:hint="eastAsia" w:asciiTheme="minorEastAsia" w:hAnsiTheme="minorEastAsia" w:eastAsiaTheme="minorEastAsia" w:cstheme="minorEastAsia"/>
          <w:b/>
          <w:sz w:val="24"/>
          <w:szCs w:val="24"/>
          <w:highlight w:val="none"/>
        </w:rPr>
      </w:pPr>
      <w:bookmarkStart w:id="8" w:name="_Toc3987_WPSOffice_Level1"/>
      <w:r>
        <w:rPr>
          <w:rFonts w:hint="eastAsia" w:asciiTheme="minorEastAsia" w:hAnsiTheme="minorEastAsia" w:cstheme="minorEastAsia"/>
          <w:b/>
          <w:sz w:val="24"/>
          <w:szCs w:val="24"/>
          <w:highlight w:val="none"/>
          <w:lang w:val="en-US" w:eastAsia="zh-CN"/>
        </w:rPr>
        <w:t>一</w:t>
      </w:r>
      <w:r>
        <w:rPr>
          <w:rFonts w:hint="eastAsia" w:ascii="宋体" w:hAnsi="宋体" w:eastAsia="宋体" w:cs="宋体"/>
          <w:b/>
          <w:bCs/>
          <w:color w:val="000000"/>
          <w:kern w:val="0"/>
          <w:sz w:val="24"/>
          <w:szCs w:val="24"/>
          <w:highlight w:val="none"/>
          <w:lang w:val="en-US" w:eastAsia="zh-CN"/>
        </w:rPr>
        <w:t>、</w:t>
      </w:r>
      <w:bookmarkEnd w:id="7"/>
      <w:r>
        <w:rPr>
          <w:rFonts w:hint="eastAsia" w:ascii="宋体" w:hAnsi="宋体"/>
          <w:b/>
          <w:sz w:val="28"/>
          <w:szCs w:val="28"/>
        </w:rPr>
        <w:t>概况介绍</w:t>
      </w:r>
      <w:bookmarkEnd w:id="8"/>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宋体" w:hAnsi="宋体" w:eastAsia="宋体" w:cs="宋体"/>
          <w:bCs/>
          <w:sz w:val="24"/>
          <w:lang w:val="en-US" w:eastAsia="zh-CN"/>
        </w:rPr>
        <w:t>P7车型要求对新下线车辆进行涉水试验，进行水深150mm车速30km/h前进共计10min；水深300mm车速5km/h前进-倒退共计20min</w:t>
      </w:r>
      <w:r>
        <w:rPr>
          <w:rFonts w:hint="eastAsia" w:asciiTheme="minorEastAsia" w:hAnsiTheme="minorEastAsia" w:eastAsiaTheme="minorEastAsia" w:cstheme="minorEastAsia"/>
          <w:sz w:val="24"/>
          <w:szCs w:val="24"/>
          <w:highlight w:val="none"/>
        </w:rPr>
        <w:t>。</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imes New Roman" w:hAnsi="Times New Roman" w:eastAsia="宋体" w:cs="Times New Roman"/>
          <w:kern w:val="2"/>
          <w:sz w:val="24"/>
          <w:szCs w:val="24"/>
          <w:highlight w:val="none"/>
          <w:lang w:val="en-US" w:eastAsia="zh-CN" w:bidi="ar-SA"/>
        </w:rPr>
        <w:t>为确保工程质量，明确设备结构及技术性能要求，以作为设备设计、制造、安装、调试和验收之依据，为此对该项目提出如下要求。</w:t>
      </w:r>
    </w:p>
    <w:p>
      <w:pPr>
        <w:keepNext w:val="0"/>
        <w:keepLines w:val="0"/>
        <w:pageBreakBefore w:val="0"/>
        <w:kinsoku/>
        <w:wordWrap/>
        <w:overflowPunct/>
        <w:topLinePunct w:val="0"/>
        <w:bidi w:val="0"/>
        <w:spacing w:line="348" w:lineRule="auto"/>
        <w:textAlignment w:val="auto"/>
        <w:rPr>
          <w:rFonts w:hint="eastAsia" w:asciiTheme="minorEastAsia" w:hAnsiTheme="minorEastAsia" w:eastAsiaTheme="minorEastAsia" w:cstheme="minorEastAsia"/>
          <w:b/>
          <w:sz w:val="24"/>
          <w:szCs w:val="24"/>
          <w:highlight w:val="none"/>
        </w:rPr>
      </w:pPr>
      <w:bookmarkStart w:id="9" w:name="_Toc13475_WPSOffice_Level1"/>
      <w:bookmarkStart w:id="10" w:name="_Toc25351_WPSOffice_Level1"/>
      <w:r>
        <w:rPr>
          <w:rFonts w:hint="eastAsia" w:asciiTheme="minorEastAsia" w:hAnsiTheme="minorEastAsia" w:cstheme="minorEastAsia"/>
          <w:b/>
          <w:sz w:val="24"/>
          <w:szCs w:val="24"/>
          <w:highlight w:val="none"/>
          <w:lang w:eastAsia="zh-CN"/>
        </w:rPr>
        <w:t>二</w:t>
      </w:r>
      <w:r>
        <w:rPr>
          <w:rFonts w:hint="eastAsia" w:ascii="宋体" w:hAnsi="宋体" w:eastAsia="宋体" w:cs="宋体"/>
          <w:b/>
          <w:bCs/>
          <w:color w:val="000000"/>
          <w:kern w:val="0"/>
          <w:sz w:val="24"/>
          <w:szCs w:val="24"/>
          <w:highlight w:val="none"/>
          <w:lang w:val="en-US" w:eastAsia="zh-CN"/>
        </w:rPr>
        <w:t>、</w:t>
      </w:r>
      <w:r>
        <w:rPr>
          <w:rFonts w:hint="eastAsia" w:asciiTheme="minorEastAsia" w:hAnsiTheme="minorEastAsia" w:eastAsiaTheme="minorEastAsia" w:cstheme="minorEastAsia"/>
          <w:b/>
          <w:sz w:val="24"/>
          <w:szCs w:val="24"/>
          <w:highlight w:val="none"/>
        </w:rPr>
        <w:t>工程内容</w:t>
      </w:r>
      <w:bookmarkEnd w:id="9"/>
      <w:bookmarkEnd w:id="10"/>
    </w:p>
    <w:p>
      <w:pPr>
        <w:keepNext w:val="0"/>
        <w:keepLines w:val="0"/>
        <w:pageBreakBefore w:val="0"/>
        <w:kinsoku/>
        <w:wordWrap/>
        <w:overflowPunct/>
        <w:topLinePunct w:val="0"/>
        <w:bidi w:val="0"/>
        <w:spacing w:line="348" w:lineRule="auto"/>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2.1乙方负责的工程内容见表2-1</w:t>
      </w:r>
      <w:r>
        <w:rPr>
          <w:rFonts w:hint="eastAsia" w:asciiTheme="minorEastAsia" w:hAnsiTheme="minorEastAsia" w:eastAsiaTheme="minorEastAsia" w:cstheme="minorEastAsia"/>
          <w:sz w:val="24"/>
          <w:szCs w:val="24"/>
          <w:highlight w:val="none"/>
          <w:lang w:eastAsia="zh-CN"/>
        </w:rPr>
        <w:t>，具体改造工程见文中第</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lang w:val="en-US" w:eastAsia="zh-CN"/>
        </w:rPr>
        <w:t>款项</w:t>
      </w:r>
      <w:r>
        <w:rPr>
          <w:rFonts w:hint="eastAsia" w:asciiTheme="minorEastAsia" w:hAnsiTheme="minorEastAsia" w:eastAsiaTheme="minorEastAsia" w:cstheme="minorEastAsia"/>
          <w:sz w:val="24"/>
          <w:szCs w:val="24"/>
          <w:highlight w:val="none"/>
        </w:rPr>
        <w:t>：</w:t>
      </w:r>
    </w:p>
    <w:tbl>
      <w:tblPr>
        <w:tblStyle w:val="5"/>
        <w:tblW w:w="86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93"/>
        <w:gridCol w:w="1440"/>
        <w:gridCol w:w="1470"/>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kinsoku/>
              <w:wordWrap/>
              <w:overflowPunct/>
              <w:topLinePunct w:val="0"/>
              <w:bidi w:val="0"/>
              <w:spacing w:line="348" w:lineRule="auto"/>
              <w:jc w:val="center"/>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序号</w:t>
            </w:r>
          </w:p>
        </w:tc>
        <w:tc>
          <w:tcPr>
            <w:tcW w:w="1693" w:type="dxa"/>
            <w:vAlign w:val="center"/>
          </w:tcPr>
          <w:p>
            <w:pPr>
              <w:keepNext w:val="0"/>
              <w:keepLines w:val="0"/>
              <w:pageBreakBefore w:val="0"/>
              <w:kinsoku/>
              <w:wordWrap/>
              <w:overflowPunct/>
              <w:topLinePunct w:val="0"/>
              <w:bidi w:val="0"/>
              <w:spacing w:line="348" w:lineRule="auto"/>
              <w:jc w:val="center"/>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工程</w:t>
            </w:r>
            <w:r>
              <w:rPr>
                <w:rFonts w:hint="eastAsia" w:asciiTheme="minorEastAsia" w:hAnsiTheme="minorEastAsia" w:eastAsiaTheme="minorEastAsia" w:cstheme="minorEastAsia"/>
                <w:sz w:val="24"/>
                <w:szCs w:val="24"/>
                <w:highlight w:val="none"/>
              </w:rPr>
              <w:t>名称</w:t>
            </w:r>
          </w:p>
        </w:tc>
        <w:tc>
          <w:tcPr>
            <w:tcW w:w="1440" w:type="dxa"/>
            <w:vAlign w:val="center"/>
          </w:tcPr>
          <w:p>
            <w:pPr>
              <w:keepNext w:val="0"/>
              <w:keepLines w:val="0"/>
              <w:pageBreakBefore w:val="0"/>
              <w:kinsoku/>
              <w:wordWrap/>
              <w:overflowPunct/>
              <w:topLinePunct w:val="0"/>
              <w:bidi w:val="0"/>
              <w:spacing w:line="348" w:lineRule="auto"/>
              <w:jc w:val="center"/>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图   号</w:t>
            </w:r>
          </w:p>
        </w:tc>
        <w:tc>
          <w:tcPr>
            <w:tcW w:w="1470" w:type="dxa"/>
            <w:vAlign w:val="center"/>
          </w:tcPr>
          <w:p>
            <w:pPr>
              <w:keepNext w:val="0"/>
              <w:keepLines w:val="0"/>
              <w:pageBreakBefore w:val="0"/>
              <w:kinsoku/>
              <w:wordWrap/>
              <w:overflowPunct/>
              <w:topLinePunct w:val="0"/>
              <w:bidi w:val="0"/>
              <w:spacing w:line="348" w:lineRule="auto"/>
              <w:jc w:val="center"/>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数 量</w:t>
            </w:r>
          </w:p>
        </w:tc>
        <w:tc>
          <w:tcPr>
            <w:tcW w:w="3308" w:type="dxa"/>
            <w:vAlign w:val="center"/>
          </w:tcPr>
          <w:p>
            <w:pPr>
              <w:keepNext w:val="0"/>
              <w:keepLines w:val="0"/>
              <w:pageBreakBefore w:val="0"/>
              <w:kinsoku/>
              <w:wordWrap/>
              <w:overflowPunct/>
              <w:topLinePunct w:val="0"/>
              <w:bidi w:val="0"/>
              <w:spacing w:line="348" w:lineRule="auto"/>
              <w:jc w:val="center"/>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kinsoku/>
              <w:wordWrap/>
              <w:overflowPunct/>
              <w:topLinePunct w:val="0"/>
              <w:bidi w:val="0"/>
              <w:spacing w:line="348" w:lineRule="auto"/>
              <w:ind w:firstLine="240" w:firstLineChars="100"/>
              <w:jc w:val="both"/>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p>
        </w:tc>
        <w:tc>
          <w:tcPr>
            <w:tcW w:w="1693" w:type="dxa"/>
            <w:vAlign w:val="center"/>
          </w:tcPr>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涉水试验池</w:t>
            </w:r>
          </w:p>
        </w:tc>
        <w:tc>
          <w:tcPr>
            <w:tcW w:w="1440" w:type="dxa"/>
            <w:vAlign w:val="center"/>
          </w:tcPr>
          <w:p>
            <w:pPr>
              <w:keepNext w:val="0"/>
              <w:keepLines w:val="0"/>
              <w:pageBreakBefore w:val="0"/>
              <w:kinsoku/>
              <w:wordWrap/>
              <w:overflowPunct/>
              <w:topLinePunct w:val="0"/>
              <w:bidi w:val="0"/>
              <w:spacing w:line="348" w:lineRule="auto"/>
              <w:textAlignment w:val="auto"/>
              <w:rPr>
                <w:rFonts w:hint="eastAsia" w:asciiTheme="minorEastAsia" w:hAnsiTheme="minorEastAsia" w:eastAsiaTheme="minorEastAsia" w:cstheme="minorEastAsia"/>
                <w:sz w:val="24"/>
                <w:szCs w:val="24"/>
                <w:highlight w:val="none"/>
              </w:rPr>
            </w:pPr>
          </w:p>
        </w:tc>
        <w:tc>
          <w:tcPr>
            <w:tcW w:w="1470" w:type="dxa"/>
            <w:vAlign w:val="center"/>
          </w:tcPr>
          <w:p>
            <w:pPr>
              <w:keepNext w:val="0"/>
              <w:keepLines w:val="0"/>
              <w:pageBreakBefore w:val="0"/>
              <w:kinsoku/>
              <w:wordWrap/>
              <w:overflowPunct/>
              <w:topLinePunct w:val="0"/>
              <w:bidi w:val="0"/>
              <w:spacing w:line="348" w:lineRule="auto"/>
              <w:jc w:val="center"/>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szCs w:val="24"/>
                <w:highlight w:val="none"/>
                <w:lang w:val="en-US" w:eastAsia="zh-CN"/>
              </w:rPr>
              <w:t>条</w:t>
            </w:r>
          </w:p>
        </w:tc>
        <w:tc>
          <w:tcPr>
            <w:tcW w:w="3308" w:type="dxa"/>
            <w:vAlign w:val="center"/>
          </w:tcPr>
          <w:p>
            <w:pPr>
              <w:keepNext w:val="0"/>
              <w:keepLines w:val="0"/>
              <w:pageBreakBefore w:val="0"/>
              <w:kinsoku/>
              <w:wordWrap/>
              <w:overflowPunct/>
              <w:topLinePunct w:val="0"/>
              <w:bidi w:val="0"/>
              <w:spacing w:line="348" w:lineRule="auto"/>
              <w:jc w:val="left"/>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一条</w:t>
            </w:r>
            <w:r>
              <w:rPr>
                <w:rFonts w:hint="eastAsia" w:ascii="宋体" w:hAnsi="宋体" w:eastAsia="宋体" w:cs="宋体"/>
                <w:sz w:val="24"/>
                <w:szCs w:val="24"/>
                <w:highlight w:val="none"/>
                <w:lang w:val="en-US" w:eastAsia="zh-CN"/>
              </w:rPr>
              <w:t>总长</w:t>
            </w:r>
            <w:r>
              <w:rPr>
                <w:rFonts w:hint="eastAsia" w:ascii="宋体" w:hAnsi="宋体" w:cs="宋体"/>
                <w:sz w:val="24"/>
                <w:szCs w:val="24"/>
                <w:highlight w:val="none"/>
                <w:lang w:val="en-US" w:eastAsia="zh-CN"/>
              </w:rPr>
              <w:t>91</w:t>
            </w:r>
            <w:r>
              <w:rPr>
                <w:rFonts w:hint="eastAsia" w:ascii="宋体" w:hAnsi="宋体" w:eastAsia="宋体" w:cs="宋体"/>
                <w:sz w:val="24"/>
                <w:szCs w:val="24"/>
                <w:highlight w:val="none"/>
                <w:lang w:val="en-US" w:eastAsia="zh-CN"/>
              </w:rPr>
              <w:t>米</w:t>
            </w:r>
            <w:r>
              <w:rPr>
                <w:rFonts w:hint="eastAsia" w:ascii="宋体" w:hAnsi="宋体" w:eastAsia="宋体" w:cs="宋体"/>
                <w:sz w:val="24"/>
                <w:szCs w:val="24"/>
                <w:lang w:val="en-US" w:eastAsia="zh-CN"/>
              </w:rPr>
              <w:t>，内宽4米，深度</w:t>
            </w:r>
            <w:r>
              <w:rPr>
                <w:rFonts w:hint="eastAsia" w:ascii="宋体" w:hAnsi="宋体" w:cs="宋体"/>
                <w:sz w:val="24"/>
                <w:szCs w:val="24"/>
                <w:lang w:val="en-US" w:eastAsia="zh-CN"/>
              </w:rPr>
              <w:t>0.5</w:t>
            </w:r>
            <w:r>
              <w:rPr>
                <w:rFonts w:hint="eastAsia" w:ascii="宋体" w:hAnsi="宋体" w:eastAsia="宋体" w:cs="宋体"/>
                <w:sz w:val="24"/>
                <w:szCs w:val="24"/>
                <w:lang w:val="en-US" w:eastAsia="zh-CN"/>
              </w:rPr>
              <w:t>米，坡度5.71°涉水池</w:t>
            </w:r>
          </w:p>
        </w:tc>
      </w:tr>
    </w:tbl>
    <w:p>
      <w:pPr>
        <w:keepNext w:val="0"/>
        <w:keepLines w:val="0"/>
        <w:pageBreakBefore w:val="0"/>
        <w:numPr>
          <w:ilvl w:val="0"/>
          <w:numId w:val="0"/>
        </w:numPr>
        <w:kinsoku/>
        <w:wordWrap/>
        <w:overflowPunct/>
        <w:topLinePunct w:val="0"/>
        <w:bidi w:val="0"/>
        <w:spacing w:line="348" w:lineRule="auto"/>
        <w:ind w:leftChars="0"/>
        <w:textAlignment w:val="auto"/>
        <w:rPr>
          <w:rFonts w:hint="eastAsia" w:ascii="黑体" w:hAnsi="黑体" w:eastAsia="黑体" w:cs="黑体"/>
          <w:b w:val="0"/>
          <w:bCs/>
          <w:sz w:val="32"/>
          <w:szCs w:val="32"/>
          <w:highlight w:val="none"/>
          <w:lang w:eastAsia="zh-CN"/>
        </w:rPr>
      </w:pPr>
      <w:bookmarkStart w:id="11" w:name="_Toc12921_WPSOffice_Level1"/>
      <w:bookmarkStart w:id="12" w:name="_Toc6278_WPSOffice_Level1"/>
      <w:bookmarkStart w:id="13" w:name="_Toc16147_WPSOffice_Level1"/>
      <w:bookmarkStart w:id="14" w:name="_Toc21478_WPSOffice_Level1"/>
      <w:r>
        <w:rPr>
          <w:rFonts w:hint="eastAsia" w:ascii="黑体" w:hAnsi="黑体" w:eastAsia="黑体" w:cs="黑体"/>
          <w:b w:val="0"/>
          <w:bCs/>
          <w:sz w:val="32"/>
          <w:szCs w:val="32"/>
          <w:highlight w:val="none"/>
          <w:lang w:eastAsia="zh-CN"/>
        </w:rPr>
        <w:t>三、工程进度要求</w:t>
      </w:r>
      <w:bookmarkEnd w:id="11"/>
      <w:bookmarkEnd w:id="12"/>
      <w:bookmarkEnd w:id="13"/>
      <w:bookmarkEnd w:id="14"/>
    </w:p>
    <w:tbl>
      <w:tblPr>
        <w:tblStyle w:val="6"/>
        <w:tblW w:w="866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637"/>
        <w:gridCol w:w="2802"/>
        <w:gridCol w:w="1726"/>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7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序号</w:t>
            </w:r>
          </w:p>
        </w:tc>
        <w:tc>
          <w:tcPr>
            <w:tcW w:w="1637"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工程内容</w:t>
            </w:r>
          </w:p>
        </w:tc>
        <w:tc>
          <w:tcPr>
            <w:tcW w:w="2802"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进度要求</w:t>
            </w:r>
          </w:p>
        </w:tc>
        <w:tc>
          <w:tcPr>
            <w:tcW w:w="1726" w:type="dxa"/>
            <w:vAlign w:val="center"/>
          </w:tcPr>
          <w:p>
            <w:pPr>
              <w:keepNext w:val="0"/>
              <w:keepLines w:val="0"/>
              <w:pageBreakBefore w:val="0"/>
              <w:kinsoku/>
              <w:wordWrap/>
              <w:overflowPunct/>
              <w:topLinePunct w:val="0"/>
              <w:bidi w:val="0"/>
              <w:spacing w:line="348" w:lineRule="auto"/>
              <w:jc w:val="center"/>
              <w:textAlignment w:val="auto"/>
              <w:rPr>
                <w:rFonts w:hint="eastAsia" w:eastAsia="宋体"/>
                <w:sz w:val="24"/>
                <w:szCs w:val="24"/>
                <w:highlight w:val="none"/>
                <w:lang w:eastAsia="zh-CN"/>
              </w:rPr>
            </w:pPr>
            <w:r>
              <w:rPr>
                <w:rFonts w:hint="eastAsia"/>
                <w:sz w:val="24"/>
                <w:szCs w:val="24"/>
                <w:highlight w:val="none"/>
                <w:lang w:eastAsia="zh-CN"/>
              </w:rPr>
              <w:t>交付物</w:t>
            </w:r>
          </w:p>
        </w:tc>
        <w:tc>
          <w:tcPr>
            <w:tcW w:w="172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7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sz w:val="24"/>
                <w:szCs w:val="24"/>
                <w:highlight w:val="none"/>
              </w:rPr>
              <w:t>1</w:t>
            </w:r>
          </w:p>
        </w:tc>
        <w:tc>
          <w:tcPr>
            <w:tcW w:w="1637"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技术交底</w:t>
            </w:r>
          </w:p>
        </w:tc>
        <w:tc>
          <w:tcPr>
            <w:tcW w:w="2802"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合同签订后7日</w:t>
            </w:r>
            <w:r>
              <w:rPr>
                <w:rFonts w:hint="eastAsia"/>
                <w:sz w:val="24"/>
                <w:szCs w:val="24"/>
                <w:highlight w:val="none"/>
                <w:lang w:eastAsia="zh-CN"/>
              </w:rPr>
              <w:t>内</w:t>
            </w:r>
            <w:r>
              <w:rPr>
                <w:rFonts w:hint="eastAsia"/>
                <w:sz w:val="24"/>
                <w:szCs w:val="24"/>
                <w:highlight w:val="none"/>
              </w:rPr>
              <w:t>完成</w:t>
            </w:r>
            <w:r>
              <w:rPr>
                <w:rFonts w:hint="eastAsia"/>
                <w:sz w:val="24"/>
                <w:szCs w:val="24"/>
                <w:highlight w:val="none"/>
                <w:lang w:eastAsia="zh-CN"/>
              </w:rPr>
              <w:t>（现场技术交底）</w:t>
            </w:r>
          </w:p>
        </w:tc>
        <w:tc>
          <w:tcPr>
            <w:tcW w:w="1726"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p>
        </w:tc>
        <w:tc>
          <w:tcPr>
            <w:tcW w:w="172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74" w:type="dxa"/>
            <w:vAlign w:val="center"/>
          </w:tcPr>
          <w:p>
            <w:pPr>
              <w:keepNext w:val="0"/>
              <w:keepLines w:val="0"/>
              <w:pageBreakBefore w:val="0"/>
              <w:kinsoku/>
              <w:wordWrap/>
              <w:overflowPunct/>
              <w:topLinePunct w:val="0"/>
              <w:bidi w:val="0"/>
              <w:spacing w:line="348" w:lineRule="auto"/>
              <w:jc w:val="center"/>
              <w:textAlignment w:val="auto"/>
              <w:rPr>
                <w:rFonts w:hint="eastAsia" w:eastAsia="宋体"/>
                <w:sz w:val="24"/>
                <w:szCs w:val="24"/>
                <w:highlight w:val="none"/>
                <w:lang w:val="en-US" w:eastAsia="zh-CN"/>
              </w:rPr>
            </w:pPr>
            <w:r>
              <w:rPr>
                <w:rFonts w:hint="eastAsia"/>
                <w:sz w:val="24"/>
                <w:szCs w:val="24"/>
                <w:highlight w:val="none"/>
                <w:lang w:val="en-US" w:eastAsia="zh-CN"/>
              </w:rPr>
              <w:t>2</w:t>
            </w:r>
          </w:p>
        </w:tc>
        <w:tc>
          <w:tcPr>
            <w:tcW w:w="1637" w:type="dxa"/>
            <w:vAlign w:val="center"/>
          </w:tcPr>
          <w:p>
            <w:pPr>
              <w:keepNext w:val="0"/>
              <w:keepLines w:val="0"/>
              <w:pageBreakBefore w:val="0"/>
              <w:kinsoku/>
              <w:wordWrap/>
              <w:overflowPunct/>
              <w:topLinePunct w:val="0"/>
              <w:bidi w:val="0"/>
              <w:spacing w:line="348" w:lineRule="auto"/>
              <w:jc w:val="center"/>
              <w:textAlignment w:val="auto"/>
              <w:rPr>
                <w:rFonts w:hint="eastAsia" w:eastAsia="宋体"/>
                <w:sz w:val="24"/>
                <w:szCs w:val="24"/>
                <w:highlight w:val="none"/>
                <w:lang w:eastAsia="zh-CN"/>
              </w:rPr>
            </w:pPr>
            <w:r>
              <w:rPr>
                <w:rFonts w:hint="eastAsia"/>
                <w:sz w:val="24"/>
                <w:szCs w:val="24"/>
                <w:highlight w:val="none"/>
                <w:lang w:eastAsia="zh-CN"/>
              </w:rPr>
              <w:t>图纸</w:t>
            </w:r>
          </w:p>
        </w:tc>
        <w:tc>
          <w:tcPr>
            <w:tcW w:w="2802" w:type="dxa"/>
            <w:vAlign w:val="center"/>
          </w:tcPr>
          <w:p>
            <w:pPr>
              <w:keepNext w:val="0"/>
              <w:keepLines w:val="0"/>
              <w:pageBreakBefore w:val="0"/>
              <w:kinsoku/>
              <w:wordWrap/>
              <w:overflowPunct/>
              <w:topLinePunct w:val="0"/>
              <w:bidi w:val="0"/>
              <w:spacing w:line="348" w:lineRule="auto"/>
              <w:jc w:val="center"/>
              <w:textAlignment w:val="auto"/>
              <w:rPr>
                <w:rFonts w:hint="default" w:eastAsia="宋体"/>
                <w:sz w:val="24"/>
                <w:szCs w:val="24"/>
                <w:highlight w:val="none"/>
                <w:lang w:val="en-US" w:eastAsia="zh-CN"/>
              </w:rPr>
            </w:pPr>
            <w:r>
              <w:rPr>
                <w:rFonts w:hint="eastAsia"/>
                <w:sz w:val="24"/>
                <w:szCs w:val="24"/>
                <w:highlight w:val="none"/>
              </w:rPr>
              <w:t>合同签订后</w:t>
            </w:r>
            <w:r>
              <w:rPr>
                <w:rFonts w:hint="eastAsia"/>
                <w:sz w:val="24"/>
                <w:szCs w:val="24"/>
                <w:highlight w:val="none"/>
                <w:lang w:val="en-US" w:eastAsia="zh-CN"/>
              </w:rPr>
              <w:t>20日内完成图纸会签</w:t>
            </w:r>
          </w:p>
        </w:tc>
        <w:tc>
          <w:tcPr>
            <w:tcW w:w="1726" w:type="dxa"/>
            <w:vAlign w:val="center"/>
          </w:tcPr>
          <w:p>
            <w:pPr>
              <w:pStyle w:val="3"/>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会签版图纸</w:t>
            </w:r>
          </w:p>
        </w:tc>
        <w:tc>
          <w:tcPr>
            <w:tcW w:w="172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7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3</w:t>
            </w:r>
          </w:p>
        </w:tc>
        <w:tc>
          <w:tcPr>
            <w:tcW w:w="1637"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乙方</w:t>
            </w:r>
            <w:r>
              <w:rPr>
                <w:rFonts w:hint="eastAsia"/>
                <w:sz w:val="24"/>
                <w:szCs w:val="24"/>
                <w:highlight w:val="none"/>
                <w:lang w:eastAsia="zh-CN"/>
              </w:rPr>
              <w:t>备料</w:t>
            </w:r>
          </w:p>
        </w:tc>
        <w:tc>
          <w:tcPr>
            <w:tcW w:w="2802"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2025年3月31</w:t>
            </w:r>
            <w:r>
              <w:rPr>
                <w:rFonts w:hint="eastAsia"/>
                <w:sz w:val="24"/>
                <w:szCs w:val="24"/>
                <w:highlight w:val="none"/>
              </w:rPr>
              <w:t>日</w:t>
            </w:r>
            <w:r>
              <w:rPr>
                <w:rFonts w:hint="eastAsia"/>
                <w:sz w:val="24"/>
                <w:szCs w:val="24"/>
                <w:highlight w:val="none"/>
                <w:lang w:eastAsia="zh-CN"/>
              </w:rPr>
              <w:t>前</w:t>
            </w:r>
            <w:r>
              <w:rPr>
                <w:rFonts w:hint="eastAsia"/>
                <w:sz w:val="24"/>
                <w:szCs w:val="24"/>
                <w:highlight w:val="none"/>
              </w:rPr>
              <w:t>完成</w:t>
            </w:r>
          </w:p>
        </w:tc>
        <w:tc>
          <w:tcPr>
            <w:tcW w:w="1726"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备料清单</w:t>
            </w:r>
          </w:p>
        </w:tc>
        <w:tc>
          <w:tcPr>
            <w:tcW w:w="172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7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4</w:t>
            </w:r>
          </w:p>
        </w:tc>
        <w:tc>
          <w:tcPr>
            <w:tcW w:w="1637"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施工现场开工</w:t>
            </w:r>
          </w:p>
        </w:tc>
        <w:tc>
          <w:tcPr>
            <w:tcW w:w="2802" w:type="dxa"/>
            <w:vMerge w:val="restart"/>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项目改造所用材料、工具等需于施工前（3月31日）运送至甲方指定地点。</w:t>
            </w:r>
            <w:r>
              <w:rPr>
                <w:rFonts w:hint="eastAsia"/>
                <w:sz w:val="24"/>
                <w:szCs w:val="24"/>
                <w:highlight w:val="none"/>
              </w:rPr>
              <w:t>工期为</w:t>
            </w:r>
            <w:r>
              <w:rPr>
                <w:rFonts w:hint="eastAsia"/>
                <w:sz w:val="24"/>
                <w:szCs w:val="24"/>
                <w:highlight w:val="none"/>
                <w:lang w:val="en-US" w:eastAsia="zh-CN"/>
              </w:rPr>
              <w:t>60日历日</w:t>
            </w:r>
          </w:p>
        </w:tc>
        <w:tc>
          <w:tcPr>
            <w:tcW w:w="1726" w:type="dxa"/>
            <w:vAlign w:val="center"/>
          </w:tcPr>
          <w:p>
            <w:pPr>
              <w:pStyle w:val="3"/>
              <w:rPr>
                <w:rFonts w:hint="eastAsia"/>
                <w:sz w:val="24"/>
                <w:szCs w:val="24"/>
                <w:highlight w:val="none"/>
                <w:lang w:val="en-US" w:eastAsia="zh-CN"/>
              </w:rPr>
            </w:pPr>
            <w:r>
              <w:rPr>
                <w:rFonts w:hint="eastAsia" w:cs="Times New Roman"/>
                <w:kern w:val="2"/>
                <w:sz w:val="24"/>
                <w:szCs w:val="24"/>
                <w:highlight w:val="none"/>
                <w:lang w:val="en-US" w:eastAsia="zh-CN" w:bidi="ar-SA"/>
              </w:rPr>
              <w:t>详细施工计划</w:t>
            </w:r>
          </w:p>
        </w:tc>
        <w:tc>
          <w:tcPr>
            <w:tcW w:w="1724" w:type="dxa"/>
            <w:vAlign w:val="center"/>
          </w:tcPr>
          <w:p>
            <w:pPr>
              <w:keepNext w:val="0"/>
              <w:keepLines w:val="0"/>
              <w:pageBreakBefore w:val="0"/>
              <w:kinsoku/>
              <w:wordWrap/>
              <w:overflowPunct/>
              <w:topLinePunct w:val="0"/>
              <w:bidi w:val="0"/>
              <w:spacing w:line="348" w:lineRule="auto"/>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3月31日需提交每日的施工计划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7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5</w:t>
            </w:r>
          </w:p>
        </w:tc>
        <w:tc>
          <w:tcPr>
            <w:tcW w:w="1637"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rPr>
              <w:t>调试</w:t>
            </w:r>
          </w:p>
        </w:tc>
        <w:tc>
          <w:tcPr>
            <w:tcW w:w="2802" w:type="dxa"/>
            <w:vMerge w:val="continue"/>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p>
        </w:tc>
        <w:tc>
          <w:tcPr>
            <w:tcW w:w="1726"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cs="宋体"/>
                <w:sz w:val="24"/>
                <w:szCs w:val="24"/>
                <w:highlight w:val="none"/>
                <w:lang w:val="en-US" w:eastAsia="zh-CN"/>
              </w:rPr>
              <w:t>渗漏试验</w:t>
            </w:r>
            <w:r>
              <w:rPr>
                <w:rFonts w:hint="eastAsia" w:cs="Times New Roman"/>
                <w:kern w:val="2"/>
                <w:sz w:val="24"/>
                <w:szCs w:val="24"/>
                <w:highlight w:val="none"/>
                <w:lang w:val="en-US" w:eastAsia="zh-CN" w:bidi="ar-SA"/>
              </w:rPr>
              <w:t>报告</w:t>
            </w:r>
          </w:p>
        </w:tc>
        <w:tc>
          <w:tcPr>
            <w:tcW w:w="172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7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sz w:val="24"/>
                <w:szCs w:val="24"/>
                <w:highlight w:val="none"/>
                <w:lang w:val="en-US" w:eastAsia="zh-CN"/>
              </w:rPr>
              <w:t>6</w:t>
            </w:r>
          </w:p>
        </w:tc>
        <w:tc>
          <w:tcPr>
            <w:tcW w:w="1637"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试运行调整</w:t>
            </w:r>
          </w:p>
        </w:tc>
        <w:tc>
          <w:tcPr>
            <w:tcW w:w="2802" w:type="dxa"/>
            <w:vAlign w:val="center"/>
          </w:tcPr>
          <w:p>
            <w:pPr>
              <w:keepNext w:val="0"/>
              <w:keepLines w:val="0"/>
              <w:pageBreakBefore w:val="0"/>
              <w:kinsoku/>
              <w:wordWrap/>
              <w:overflowPunct/>
              <w:topLinePunct w:val="0"/>
              <w:bidi w:val="0"/>
              <w:spacing w:line="348" w:lineRule="auto"/>
              <w:jc w:val="center"/>
              <w:textAlignment w:val="auto"/>
              <w:rPr>
                <w:rFonts w:hint="default"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p>
        </w:tc>
        <w:tc>
          <w:tcPr>
            <w:tcW w:w="1726"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p>
        </w:tc>
        <w:tc>
          <w:tcPr>
            <w:tcW w:w="1724" w:type="dxa"/>
            <w:vAlign w:val="center"/>
          </w:tcPr>
          <w:p>
            <w:pPr>
              <w:keepNext w:val="0"/>
              <w:keepLines w:val="0"/>
              <w:pageBreakBefore w:val="0"/>
              <w:kinsoku/>
              <w:wordWrap/>
              <w:overflowPunct/>
              <w:topLinePunct w:val="0"/>
              <w:bidi w:val="0"/>
              <w:spacing w:line="348" w:lineRule="auto"/>
              <w:jc w:val="center"/>
              <w:textAlignment w:val="auto"/>
              <w:rPr>
                <w:rFonts w:hint="eastAsia" w:ascii="Times New Roman" w:hAnsi="Times New Roman" w:eastAsia="宋体" w:cs="Times New Roman"/>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w:t>
            </w:r>
          </w:p>
        </w:tc>
      </w:tr>
    </w:tbl>
    <w:p>
      <w:pPr>
        <w:keepNext w:val="0"/>
        <w:keepLines w:val="0"/>
        <w:pageBreakBefore w:val="0"/>
        <w:numPr>
          <w:ilvl w:val="0"/>
          <w:numId w:val="0"/>
        </w:numPr>
        <w:kinsoku/>
        <w:wordWrap/>
        <w:overflowPunct/>
        <w:topLinePunct w:val="0"/>
        <w:bidi w:val="0"/>
        <w:spacing w:line="348" w:lineRule="auto"/>
        <w:ind w:leftChars="0"/>
        <w:textAlignment w:val="auto"/>
        <w:rPr>
          <w:rFonts w:hint="eastAsia" w:ascii="黑体" w:hAnsi="黑体" w:eastAsia="黑体" w:cs="黑体"/>
          <w:b w:val="0"/>
          <w:bCs/>
          <w:sz w:val="32"/>
          <w:szCs w:val="32"/>
          <w:highlight w:val="none"/>
          <w:lang w:eastAsia="zh-CN"/>
        </w:rPr>
      </w:pPr>
      <w:bookmarkStart w:id="15" w:name="_Toc15075_WPSOffice_Level1"/>
      <w:bookmarkStart w:id="16" w:name="_Toc8854_WPSOffice_Level1"/>
      <w:bookmarkStart w:id="17" w:name="_Toc5392_WPSOffice_Level1"/>
      <w:bookmarkStart w:id="18" w:name="_Toc20153_WPSOffice_Level1"/>
      <w:r>
        <w:rPr>
          <w:rFonts w:hint="eastAsia" w:ascii="黑体" w:hAnsi="黑体" w:eastAsia="黑体" w:cs="黑体"/>
          <w:b w:val="0"/>
          <w:bCs/>
          <w:sz w:val="32"/>
          <w:szCs w:val="32"/>
          <w:highlight w:val="none"/>
          <w:lang w:eastAsia="zh-CN"/>
        </w:rPr>
        <w:t>四、</w:t>
      </w:r>
      <w:bookmarkEnd w:id="15"/>
      <w:bookmarkEnd w:id="16"/>
      <w:r>
        <w:rPr>
          <w:rFonts w:hint="eastAsia" w:ascii="黑体" w:hAnsi="黑体" w:eastAsia="黑体" w:cs="黑体"/>
          <w:b w:val="0"/>
          <w:bCs/>
          <w:sz w:val="32"/>
          <w:szCs w:val="32"/>
          <w:highlight w:val="none"/>
          <w:lang w:eastAsia="zh-CN"/>
        </w:rPr>
        <w:t>技术要求</w:t>
      </w:r>
      <w:bookmarkEnd w:id="17"/>
      <w:bookmarkEnd w:id="18"/>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r>
        <w:rPr>
          <w:rFonts w:hint="eastAsia" w:ascii="宋体" w:hAnsi="宋体" w:cs="宋体"/>
          <w:sz w:val="24"/>
          <w:szCs w:val="24"/>
          <w:highlight w:val="none"/>
          <w:lang w:val="en-US" w:eastAsia="zh-CN"/>
        </w:rPr>
        <w:t>在</w:t>
      </w:r>
      <w:r>
        <w:rPr>
          <w:rFonts w:hint="eastAsia" w:ascii="宋体" w:hAnsi="宋体" w:eastAsia="宋体" w:cs="宋体"/>
          <w:sz w:val="24"/>
          <w:szCs w:val="24"/>
          <w:lang w:val="en-US" w:eastAsia="zh-CN"/>
        </w:rPr>
        <w:t>检测地</w:t>
      </w:r>
      <w:r>
        <w:rPr>
          <w:rFonts w:hint="eastAsia" w:ascii="宋体" w:hAnsi="宋体" w:eastAsia="宋体" w:cs="宋体"/>
          <w:sz w:val="24"/>
          <w:szCs w:val="24"/>
          <w:highlight w:val="none"/>
          <w:lang w:val="en-US" w:eastAsia="zh-CN"/>
        </w:rPr>
        <w:t>沟旁</w:t>
      </w:r>
      <w:r>
        <w:rPr>
          <w:rFonts w:hint="eastAsia" w:ascii="宋体" w:hAnsi="宋体" w:cs="宋体"/>
          <w:sz w:val="24"/>
          <w:szCs w:val="24"/>
          <w:highlight w:val="none"/>
          <w:lang w:val="en-US" w:eastAsia="zh-CN"/>
        </w:rPr>
        <w:t>新开挖一条涉水池</w:t>
      </w:r>
      <w:r>
        <w:rPr>
          <w:rFonts w:hint="eastAsia" w:ascii="宋体" w:hAnsi="宋体" w:eastAsia="宋体" w:cs="宋体"/>
          <w:sz w:val="24"/>
          <w:szCs w:val="24"/>
          <w:highlight w:val="none"/>
          <w:lang w:val="en-US" w:eastAsia="zh-CN"/>
        </w:rPr>
        <w:t>，涉水池总长</w:t>
      </w:r>
      <w:r>
        <w:rPr>
          <w:rFonts w:hint="eastAsia" w:ascii="宋体" w:hAnsi="宋体" w:cs="宋体"/>
          <w:sz w:val="24"/>
          <w:szCs w:val="24"/>
          <w:highlight w:val="none"/>
          <w:lang w:val="en-US" w:eastAsia="zh-CN"/>
        </w:rPr>
        <w:t>91</w:t>
      </w:r>
      <w:r>
        <w:rPr>
          <w:rFonts w:hint="eastAsia" w:ascii="宋体" w:hAnsi="宋体" w:eastAsia="宋体" w:cs="宋体"/>
          <w:sz w:val="24"/>
          <w:szCs w:val="24"/>
          <w:highlight w:val="none"/>
          <w:lang w:val="en-US" w:eastAsia="zh-CN"/>
        </w:rPr>
        <w:t>米，池内长</w:t>
      </w:r>
      <w:r>
        <w:rPr>
          <w:rFonts w:hint="eastAsia" w:ascii="宋体" w:hAnsi="宋体" w:cs="宋体"/>
          <w:sz w:val="24"/>
          <w:szCs w:val="24"/>
          <w:highlight w:val="none"/>
          <w:lang w:val="en-US" w:eastAsia="zh-CN"/>
        </w:rPr>
        <w:t>45</w:t>
      </w:r>
      <w:r>
        <w:rPr>
          <w:rFonts w:hint="eastAsia" w:ascii="宋体" w:hAnsi="宋体" w:eastAsia="宋体" w:cs="宋体"/>
          <w:sz w:val="24"/>
          <w:szCs w:val="24"/>
          <w:highlight w:val="none"/>
          <w:lang w:val="en-US" w:eastAsia="zh-CN"/>
        </w:rPr>
        <w:t>米，池内宽4米，坡高度</w:t>
      </w:r>
      <w:r>
        <w:rPr>
          <w:rFonts w:hint="eastAsia" w:ascii="宋体" w:hAnsi="宋体" w:cs="宋体"/>
          <w:sz w:val="24"/>
          <w:szCs w:val="24"/>
          <w:highlight w:val="none"/>
          <w:lang w:val="en-US" w:eastAsia="zh-CN"/>
        </w:rPr>
        <w:t>0.5</w:t>
      </w:r>
      <w:r>
        <w:rPr>
          <w:rFonts w:hint="eastAsia" w:ascii="宋体" w:hAnsi="宋体" w:eastAsia="宋体" w:cs="宋体"/>
          <w:sz w:val="24"/>
          <w:szCs w:val="24"/>
          <w:highlight w:val="none"/>
          <w:lang w:val="en-US" w:eastAsia="zh-CN"/>
        </w:rPr>
        <w:t>米，两侧墙高</w:t>
      </w:r>
      <w:r>
        <w:rPr>
          <w:rFonts w:hint="eastAsia" w:ascii="宋体" w:hAnsi="宋体" w:cs="宋体"/>
          <w:sz w:val="24"/>
          <w:szCs w:val="24"/>
          <w:highlight w:val="none"/>
          <w:lang w:val="en-US" w:eastAsia="zh-CN"/>
        </w:rPr>
        <w:t>0.8</w:t>
      </w:r>
      <w:r>
        <w:rPr>
          <w:rFonts w:hint="eastAsia" w:ascii="宋体" w:hAnsi="宋体" w:eastAsia="宋体" w:cs="宋体"/>
          <w:sz w:val="24"/>
          <w:szCs w:val="24"/>
          <w:highlight w:val="none"/>
          <w:lang w:val="en-US" w:eastAsia="zh-CN"/>
        </w:rPr>
        <w:t>米，前后坡坡度为</w:t>
      </w:r>
      <w:r>
        <w:rPr>
          <w:rFonts w:hint="eastAsia" w:ascii="宋体" w:hAnsi="宋体" w:cs="宋体"/>
          <w:sz w:val="24"/>
          <w:szCs w:val="24"/>
          <w:highlight w:val="none"/>
          <w:lang w:val="en-US" w:eastAsia="zh-CN"/>
        </w:rPr>
        <w:t>5.71</w:t>
      </w:r>
      <w:r>
        <w:rPr>
          <w:rFonts w:hint="eastAsia" w:ascii="宋体" w:hAnsi="宋体" w:eastAsia="宋体" w:cs="宋体"/>
          <w:sz w:val="24"/>
          <w:szCs w:val="24"/>
          <w:highlight w:val="none"/>
          <w:lang w:val="en-US" w:eastAsia="zh-CN"/>
        </w:rPr>
        <w:t>°的梯形坡，两侧外墙厚度0.2米。</w:t>
      </w:r>
      <w:r>
        <w:rPr>
          <w:rFonts w:hint="eastAsia" w:ascii="宋体" w:hAnsi="宋体" w:cs="宋体"/>
          <w:sz w:val="24"/>
          <w:szCs w:val="24"/>
          <w:highlight w:val="none"/>
          <w:lang w:val="en-US" w:eastAsia="zh-CN"/>
        </w:rPr>
        <w:t>两边引导路长13米；</w:t>
      </w:r>
      <w:r>
        <w:rPr>
          <w:rFonts w:hint="eastAsia" w:ascii="宋体" w:hAnsi="宋体" w:eastAsia="宋体" w:cs="宋体"/>
          <w:sz w:val="24"/>
          <w:szCs w:val="24"/>
          <w:highlight w:val="none"/>
          <w:lang w:val="en-US" w:eastAsia="zh-CN"/>
        </w:rPr>
        <w:t>如下图。</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drawing>
          <wp:inline distT="0" distB="0" distL="114300" distR="114300">
            <wp:extent cx="5371465" cy="1960880"/>
            <wp:effectExtent l="0" t="0" r="635"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5"/>
                    <a:stretch>
                      <a:fillRect/>
                    </a:stretch>
                  </pic:blipFill>
                  <pic:spPr>
                    <a:xfrm>
                      <a:off x="0" y="0"/>
                      <a:ext cx="5371465" cy="1960880"/>
                    </a:xfrm>
                    <a:prstGeom prst="rect">
                      <a:avLst/>
                    </a:prstGeom>
                    <a:noFill/>
                    <a:ln>
                      <a:noFill/>
                    </a:ln>
                  </pic:spPr>
                </pic:pic>
              </a:graphicData>
            </a:graphic>
          </wp:inline>
        </w:drawing>
      </w:r>
      <w:r>
        <w:rPr>
          <w:rFonts w:hint="eastAsia" w:ascii="宋体" w:hAnsi="宋体" w:eastAsia="宋体" w:cs="宋体"/>
          <w:sz w:val="24"/>
          <w:szCs w:val="24"/>
          <w:highlight w:val="none"/>
          <w:lang w:val="en-US" w:eastAsia="zh-CN"/>
        </w:rPr>
        <w:t>图</w:t>
      </w:r>
      <w:r>
        <w:rPr>
          <w:rFonts w:hint="eastAsia" w:ascii="宋体" w:hAnsi="宋体" w:cs="宋体"/>
          <w:sz w:val="24"/>
          <w:szCs w:val="24"/>
          <w:highlight w:val="none"/>
          <w:lang w:val="en-US" w:eastAsia="zh-CN"/>
        </w:rPr>
        <w:t>七</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4.2、将地面的树木、绿化、泥土、旧水沟等移除及清运。</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4.3、将室外地沟3根排水管连接到一处，顺直室外地沟入口处布暗管，再走新铺设的路基底部，将水排到原有的雨水沟中；</w:t>
      </w:r>
      <w:r>
        <w:rPr>
          <w:rFonts w:hint="eastAsia" w:ascii="宋体" w:hAnsi="宋体" w:eastAsia="宋体" w:cs="宋体"/>
          <w:color w:val="auto"/>
          <w:sz w:val="24"/>
          <w:szCs w:val="24"/>
          <w:highlight w:val="none"/>
          <w:lang w:val="en-US" w:eastAsia="zh-CN"/>
        </w:rPr>
        <w:t>如下图。</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20" w:firstLineChars="200"/>
        <w:jc w:val="center"/>
        <w:textAlignment w:val="auto"/>
        <w:rPr>
          <w:highlight w:val="none"/>
        </w:rPr>
      </w:pPr>
      <w:r>
        <w:rPr>
          <w:color w:val="auto"/>
          <w:highlight w:val="none"/>
        </w:rPr>
        <w:drawing>
          <wp:inline distT="0" distB="0" distL="114300" distR="114300">
            <wp:extent cx="3901440" cy="2160270"/>
            <wp:effectExtent l="0" t="0" r="3810" b="11430"/>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pic:cNvPicPr>
                  </pic:nvPicPr>
                  <pic:blipFill>
                    <a:blip r:embed="rId6"/>
                    <a:stretch>
                      <a:fillRect/>
                    </a:stretch>
                  </pic:blipFill>
                  <pic:spPr>
                    <a:xfrm>
                      <a:off x="0" y="0"/>
                      <a:ext cx="3901440" cy="2160270"/>
                    </a:xfrm>
                    <a:prstGeom prst="rect">
                      <a:avLst/>
                    </a:prstGeom>
                    <a:noFill/>
                    <a:ln>
                      <a:noFill/>
                    </a:ln>
                  </pic:spPr>
                </pic:pic>
              </a:graphicData>
            </a:graphic>
          </wp:inline>
        </w:drawing>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jc w:val="center"/>
        <w:textAlignment w:val="auto"/>
        <w:rPr>
          <w:rFonts w:hint="eastAsia"/>
          <w:highlight w:val="none"/>
          <w:lang w:val="en-US" w:eastAsia="zh-CN"/>
        </w:rPr>
      </w:pPr>
      <w:r>
        <w:rPr>
          <w:rFonts w:hint="eastAsia" w:ascii="宋体" w:hAnsi="宋体" w:eastAsia="宋体" w:cs="宋体"/>
          <w:sz w:val="24"/>
          <w:szCs w:val="24"/>
          <w:highlight w:val="none"/>
          <w:lang w:val="en-US" w:eastAsia="zh-CN"/>
        </w:rPr>
        <w:t>图</w:t>
      </w:r>
      <w:r>
        <w:rPr>
          <w:rFonts w:hint="eastAsia" w:ascii="宋体" w:hAnsi="宋体" w:cs="宋体"/>
          <w:sz w:val="24"/>
          <w:szCs w:val="24"/>
          <w:highlight w:val="none"/>
          <w:lang w:val="en-US" w:eastAsia="zh-CN"/>
        </w:rPr>
        <w:t>八</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4.4、新筑的路面及涉水池先</w:t>
      </w:r>
      <w:r>
        <w:rPr>
          <w:rFonts w:hint="eastAsia" w:asciiTheme="minorEastAsia" w:hAnsiTheme="minorEastAsia" w:eastAsiaTheme="minorEastAsia" w:cstheme="minorEastAsia"/>
          <w:sz w:val="24"/>
          <w:szCs w:val="24"/>
          <w:highlight w:val="none"/>
          <w:lang w:val="en-US" w:eastAsia="zh-CN"/>
        </w:rPr>
        <w:t>素土压实度(重型标准)大于等于93%；再铺设30cm厚6%水泥稳定碎石基层；</w:t>
      </w:r>
      <w:r>
        <w:rPr>
          <w:rFonts w:hint="eastAsia" w:ascii="宋体" w:hAnsi="宋体" w:eastAsia="宋体" w:cs="宋体"/>
          <w:sz w:val="24"/>
          <w:szCs w:val="24"/>
          <w:highlight w:val="none"/>
          <w:lang w:val="en-US" w:eastAsia="zh-CN"/>
        </w:rPr>
        <w:t>底部铺设钢筋直径为10mm，间距200mm，</w:t>
      </w:r>
      <w:r>
        <w:rPr>
          <w:rFonts w:hint="eastAsia" w:ascii="宋体" w:hAnsi="宋体" w:cs="宋体"/>
          <w:sz w:val="24"/>
          <w:szCs w:val="24"/>
          <w:highlight w:val="none"/>
          <w:lang w:val="en-US" w:eastAsia="zh-CN"/>
        </w:rPr>
        <w:t>最后</w:t>
      </w:r>
      <w:r>
        <w:rPr>
          <w:rFonts w:hint="eastAsia" w:ascii="宋体" w:hAnsi="宋体" w:eastAsia="宋体" w:cs="宋体"/>
          <w:sz w:val="24"/>
          <w:szCs w:val="24"/>
          <w:highlight w:val="none"/>
          <w:lang w:val="en-US" w:eastAsia="zh-CN"/>
        </w:rPr>
        <w:t>浇筑C30水泥混凝土厚度30cm(抗折4.5MPa)。</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、两侧墙壁内部铺设钢筋直径为10mm</w:t>
      </w:r>
      <w:r>
        <w:rPr>
          <w:rFonts w:hint="eastAsia" w:ascii="宋体" w:hAnsi="宋体" w:cs="宋体"/>
          <w:sz w:val="24"/>
          <w:szCs w:val="24"/>
          <w:highlight w:val="none"/>
          <w:lang w:val="en-US" w:eastAsia="zh-CN"/>
        </w:rPr>
        <w:t>钢筋笼</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一体模版</w:t>
      </w:r>
      <w:r>
        <w:rPr>
          <w:rFonts w:hint="eastAsia" w:ascii="宋体" w:hAnsi="宋体" w:eastAsia="宋体" w:cs="宋体"/>
          <w:sz w:val="24"/>
          <w:szCs w:val="24"/>
          <w:highlight w:val="none"/>
          <w:lang w:val="en-US" w:eastAsia="zh-CN"/>
        </w:rPr>
        <w:t>浇筑C30水泥混凝土(抗折4.5MPa)</w:t>
      </w:r>
      <w:r>
        <w:rPr>
          <w:rFonts w:hint="eastAsia" w:ascii="宋体" w:hAnsi="宋体" w:cs="宋体"/>
          <w:sz w:val="24"/>
          <w:szCs w:val="24"/>
          <w:highlight w:val="none"/>
          <w:lang w:val="en-US" w:eastAsia="zh-CN"/>
        </w:rPr>
        <w:t>，厚度0.2米。</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4.6、涉水池底部浇筑的</w:t>
      </w:r>
      <w:r>
        <w:rPr>
          <w:rFonts w:hint="eastAsia" w:ascii="宋体" w:hAnsi="宋体" w:eastAsia="宋体" w:cs="宋体"/>
          <w:sz w:val="24"/>
          <w:szCs w:val="24"/>
          <w:highlight w:val="none"/>
          <w:lang w:val="en-US" w:eastAsia="zh-CN"/>
        </w:rPr>
        <w:t>筑C30水泥混凝土</w:t>
      </w:r>
      <w:r>
        <w:rPr>
          <w:rFonts w:hint="eastAsia" w:ascii="宋体" w:hAnsi="宋体" w:cs="宋体"/>
          <w:sz w:val="24"/>
          <w:szCs w:val="24"/>
          <w:highlight w:val="none"/>
          <w:lang w:val="en-US" w:eastAsia="zh-CN"/>
        </w:rPr>
        <w:t>底部应比排水沟高。</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、在水池壁两侧墙面上标注水池深度标识刻度线前后左右共计4处位置（分别标注100mm、150mm、300mm三处标识刻度线）。</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4.8、在水池靠水沟边的外墙，从前下坡底处往前出口处2米的位置向外扩建一个1米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0.5米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0.9米（长宽高）的沉淀池，从沉淀池底往上2</w:t>
      </w:r>
      <w:r>
        <w:rPr>
          <w:rFonts w:hint="eastAsia" w:ascii="宋体" w:hAnsi="宋体" w:eastAsia="宋体" w:cs="宋体"/>
          <w:sz w:val="24"/>
          <w:szCs w:val="24"/>
          <w:highlight w:val="none"/>
          <w:lang w:val="en-US" w:eastAsia="zh-CN"/>
        </w:rPr>
        <w:t>00mm刻度线位置安装一个DN1</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0排水</w:t>
      </w:r>
      <w:r>
        <w:rPr>
          <w:rFonts w:hint="eastAsia" w:ascii="宋体" w:hAnsi="宋体" w:cs="宋体"/>
          <w:sz w:val="24"/>
          <w:szCs w:val="24"/>
          <w:highlight w:val="none"/>
          <w:lang w:val="en-US" w:eastAsia="zh-CN"/>
        </w:rPr>
        <w:t>管</w:t>
      </w:r>
      <w:r>
        <w:rPr>
          <w:rFonts w:hint="eastAsia" w:ascii="宋体" w:hAnsi="宋体" w:eastAsia="宋体" w:cs="宋体"/>
          <w:sz w:val="24"/>
          <w:szCs w:val="24"/>
          <w:highlight w:val="none"/>
          <w:lang w:val="en-US" w:eastAsia="zh-CN"/>
        </w:rPr>
        <w:t>，排水口下端的位置位于</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00mm刻度线处；并增加DN1</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0排水阀门开关。</w:t>
      </w:r>
      <w:r>
        <w:rPr>
          <w:rFonts w:hint="eastAsia" w:ascii="宋体" w:hAnsi="宋体" w:cs="宋体"/>
          <w:sz w:val="24"/>
          <w:szCs w:val="24"/>
          <w:highlight w:val="none"/>
          <w:lang w:val="en-US" w:eastAsia="zh-CN"/>
        </w:rPr>
        <w:t>间隔0.4米处从沉淀池底往上4</w:t>
      </w:r>
      <w:r>
        <w:rPr>
          <w:rFonts w:hint="eastAsia" w:ascii="宋体" w:hAnsi="宋体" w:eastAsia="宋体" w:cs="宋体"/>
          <w:sz w:val="24"/>
          <w:szCs w:val="24"/>
          <w:highlight w:val="none"/>
          <w:lang w:val="en-US" w:eastAsia="zh-CN"/>
        </w:rPr>
        <w:t>00mm刻度线位置安装一个DN1</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0排水管，排水口下端的位置位于</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00mm刻度线处；并增加DN1</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0排水阀门开关。</w:t>
      </w:r>
      <w:r>
        <w:rPr>
          <w:rFonts w:hint="eastAsia" w:ascii="宋体" w:hAnsi="宋体" w:cs="宋体"/>
          <w:sz w:val="24"/>
          <w:szCs w:val="24"/>
          <w:highlight w:val="none"/>
          <w:lang w:val="en-US" w:eastAsia="zh-CN"/>
        </w:rPr>
        <w:t>两处排水管独立排水。</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4.9、在沉淀池对面相对与涉水池的位置，修建一处1米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0.3米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0.15米（长宽高）的积水坑，上面安装不锈钢格栅板。</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4.10、积水坑与1米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0.5米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0.9米（长宽高）沉淀池使用暗管与涉水池内的沉淀池连通（暗管内部需再安装一个过滤网）</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4.11、扩建的1米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0.5米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0.9米（长宽高）沉淀池比涉水池底部低0.1米；并在沉淀池中部靠底部的位置安装</w:t>
      </w:r>
      <w:r>
        <w:rPr>
          <w:rFonts w:hint="eastAsia" w:ascii="宋体" w:hAnsi="宋体" w:eastAsia="宋体" w:cs="宋体"/>
          <w:sz w:val="24"/>
          <w:szCs w:val="24"/>
          <w:highlight w:val="none"/>
          <w:lang w:val="en-US" w:eastAsia="zh-CN"/>
        </w:rPr>
        <w:t>一个DN1</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0排水管</w:t>
      </w:r>
      <w:r>
        <w:rPr>
          <w:rFonts w:hint="eastAsia" w:ascii="宋体" w:hAnsi="宋体" w:cs="宋体"/>
          <w:sz w:val="24"/>
          <w:szCs w:val="24"/>
          <w:highlight w:val="none"/>
          <w:lang w:val="en-US" w:eastAsia="zh-CN"/>
        </w:rPr>
        <w:t>和阀门开关。</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5086350" cy="3457575"/>
            <wp:effectExtent l="0" t="0" r="0" b="952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7"/>
                    <a:stretch>
                      <a:fillRect/>
                    </a:stretch>
                  </pic:blipFill>
                  <pic:spPr>
                    <a:xfrm>
                      <a:off x="0" y="0"/>
                      <a:ext cx="5086350" cy="3457575"/>
                    </a:xfrm>
                    <a:prstGeom prst="rect">
                      <a:avLst/>
                    </a:prstGeom>
                    <a:noFill/>
                    <a:ln>
                      <a:noFill/>
                    </a:ln>
                  </pic:spPr>
                </pic:pic>
              </a:graphicData>
            </a:graphic>
          </wp:inline>
        </w:drawing>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eastAsiaTheme="minorEastAsia" w:cstheme="minorEastAsia"/>
          <w:sz w:val="24"/>
          <w:szCs w:val="24"/>
          <w:highlight w:val="none"/>
          <w:lang w:val="en-US" w:eastAsia="zh-CN"/>
        </w:rPr>
      </w:pPr>
      <w:r>
        <w:rPr>
          <w:rFonts w:hint="eastAsia" w:ascii="宋体" w:hAnsi="宋体" w:eastAsia="宋体" w:cs="宋体"/>
          <w:sz w:val="24"/>
          <w:szCs w:val="24"/>
          <w:highlight w:val="none"/>
          <w:lang w:val="en-US" w:eastAsia="zh-CN"/>
        </w:rPr>
        <w:t>图</w:t>
      </w:r>
      <w:r>
        <w:rPr>
          <w:rFonts w:hint="eastAsia" w:ascii="宋体" w:hAnsi="宋体" w:cs="宋体"/>
          <w:sz w:val="24"/>
          <w:szCs w:val="24"/>
          <w:highlight w:val="none"/>
          <w:lang w:val="en-US" w:eastAsia="zh-CN"/>
        </w:rPr>
        <w:t>八</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lang w:val="en-US" w:eastAsia="zh-CN"/>
        </w:rPr>
        <w:t>.12、</w:t>
      </w:r>
      <w:r>
        <w:rPr>
          <w:rFonts w:hint="eastAsia" w:ascii="宋体" w:hAnsi="宋体" w:cs="宋体"/>
          <w:sz w:val="24"/>
          <w:szCs w:val="24"/>
          <w:highlight w:val="none"/>
          <w:lang w:val="en-US" w:eastAsia="zh-CN"/>
        </w:rPr>
        <w:t>在水池靠水沟边的外墙，从出口上坡处往进口2米的位置向外扩建一个1米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0.5米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0.9米（长宽高）的沉淀池，要求同条款4.8；4.9；4.10；4.11三个条款。</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4.13、</w:t>
      </w:r>
      <w:r>
        <w:rPr>
          <w:rFonts w:hint="eastAsia" w:ascii="宋体" w:hAnsi="宋体" w:eastAsia="宋体" w:cs="宋体"/>
          <w:sz w:val="24"/>
          <w:szCs w:val="24"/>
          <w:highlight w:val="none"/>
          <w:lang w:val="en-US" w:eastAsia="zh-CN"/>
        </w:rPr>
        <w:t>在</w:t>
      </w:r>
      <w:r>
        <w:rPr>
          <w:rFonts w:hint="eastAsia" w:ascii="宋体" w:hAnsi="宋体" w:cs="宋体"/>
          <w:sz w:val="24"/>
          <w:szCs w:val="24"/>
          <w:highlight w:val="none"/>
          <w:lang w:val="en-US" w:eastAsia="zh-CN"/>
        </w:rPr>
        <w:t>涉</w:t>
      </w:r>
      <w:r>
        <w:rPr>
          <w:rFonts w:hint="eastAsia" w:ascii="宋体" w:hAnsi="宋体" w:eastAsia="宋体" w:cs="宋体"/>
          <w:sz w:val="24"/>
          <w:szCs w:val="24"/>
          <w:highlight w:val="none"/>
          <w:lang w:val="en-US" w:eastAsia="zh-CN"/>
        </w:rPr>
        <w:t>水池前</w:t>
      </w:r>
      <w:r>
        <w:rPr>
          <w:rFonts w:hint="eastAsia" w:ascii="宋体" w:hAnsi="宋体" w:cs="宋体"/>
          <w:sz w:val="24"/>
          <w:szCs w:val="24"/>
          <w:highlight w:val="none"/>
          <w:lang w:val="en-US" w:eastAsia="zh-CN"/>
        </w:rPr>
        <w:t>入口</w:t>
      </w:r>
      <w:r>
        <w:rPr>
          <w:rFonts w:hint="eastAsia" w:ascii="宋体" w:hAnsi="宋体" w:eastAsia="宋体" w:cs="宋体"/>
          <w:sz w:val="24"/>
          <w:szCs w:val="24"/>
          <w:highlight w:val="none"/>
          <w:lang w:val="en-US" w:eastAsia="zh-CN"/>
        </w:rPr>
        <w:t>端增加一处给水水管（含阀门），向水池内注水。阀门尺寸同补给水水管尺寸。</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cs="宋体"/>
          <w:sz w:val="24"/>
          <w:szCs w:val="24"/>
          <w:highlight w:val="none"/>
          <w:lang w:val="en-US" w:eastAsia="zh-CN"/>
        </w:rPr>
        <w:t>14</w:t>
      </w:r>
      <w:r>
        <w:rPr>
          <w:rFonts w:hint="eastAsia" w:ascii="宋体" w:hAnsi="宋体" w:eastAsia="宋体" w:cs="宋体"/>
          <w:sz w:val="24"/>
          <w:szCs w:val="24"/>
          <w:highlight w:val="none"/>
          <w:lang w:val="en-US" w:eastAsia="zh-CN"/>
        </w:rPr>
        <w:t>、从</w:t>
      </w:r>
      <w:r>
        <w:rPr>
          <w:rFonts w:hint="eastAsia" w:ascii="宋体" w:hAnsi="宋体" w:cs="宋体"/>
          <w:sz w:val="24"/>
          <w:szCs w:val="24"/>
          <w:highlight w:val="none"/>
          <w:lang w:val="en-US" w:eastAsia="zh-CN"/>
        </w:rPr>
        <w:t>试车跑道中段</w:t>
      </w:r>
      <w:r>
        <w:rPr>
          <w:rFonts w:hint="eastAsia" w:ascii="宋体" w:hAnsi="宋体" w:eastAsia="宋体" w:cs="宋体"/>
          <w:sz w:val="24"/>
          <w:szCs w:val="24"/>
          <w:highlight w:val="none"/>
          <w:lang w:val="en-US" w:eastAsia="zh-CN"/>
        </w:rPr>
        <w:t>水源点处接驳水源，接驳处应安装控制阀门；水管直径</w:t>
      </w:r>
      <w:r>
        <w:rPr>
          <w:rFonts w:hint="eastAsia" w:ascii="宋体" w:hAnsi="宋体" w:cs="宋体"/>
          <w:sz w:val="24"/>
          <w:szCs w:val="24"/>
          <w:highlight w:val="none"/>
          <w:lang w:val="en-US" w:eastAsia="zh-CN"/>
        </w:rPr>
        <w:t>同</w:t>
      </w:r>
      <w:r>
        <w:rPr>
          <w:rFonts w:hint="eastAsia" w:ascii="宋体" w:hAnsi="宋体" w:eastAsia="宋体" w:cs="宋体"/>
          <w:sz w:val="24"/>
          <w:szCs w:val="24"/>
          <w:highlight w:val="none"/>
          <w:lang w:val="en-US" w:eastAsia="zh-CN"/>
        </w:rPr>
        <w:t>水源点的水管直径（Φ</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横穿下部试车跑道，原有试车跑道需破路埋水管。</w:t>
      </w:r>
      <w:r>
        <w:rPr>
          <w:rFonts w:hint="eastAsia" w:ascii="宋体" w:hAnsi="宋体" w:eastAsia="宋体" w:cs="宋体"/>
          <w:sz w:val="24"/>
          <w:szCs w:val="24"/>
          <w:highlight w:val="none"/>
          <w:lang w:val="en-US" w:eastAsia="zh-CN"/>
        </w:rPr>
        <w:t>给水水管</w:t>
      </w:r>
      <w:r>
        <w:rPr>
          <w:rFonts w:hint="eastAsia" w:ascii="宋体" w:hAnsi="宋体" w:cs="宋体"/>
          <w:sz w:val="24"/>
          <w:szCs w:val="24"/>
          <w:highlight w:val="none"/>
          <w:lang w:val="en-US" w:eastAsia="zh-CN"/>
        </w:rPr>
        <w:t>接到沉淀池中。</w:t>
      </w:r>
    </w:p>
    <w:p>
      <w:pPr>
        <w:keepNext w:val="0"/>
        <w:keepLines w:val="0"/>
        <w:pageBreakBefore w:val="0"/>
        <w:widowControl w:val="0"/>
        <w:tabs>
          <w:tab w:val="left" w:pos="8610"/>
        </w:tabs>
        <w:kinsoku/>
        <w:wordWrap/>
        <w:overflowPunct/>
        <w:topLinePunct w:val="0"/>
        <w:autoSpaceDE/>
        <w:autoSpaceDN/>
        <w:bidi w:val="0"/>
        <w:adjustRightInd/>
        <w:snapToGrid/>
        <w:spacing w:line="360" w:lineRule="auto"/>
        <w:jc w:val="both"/>
        <w:textAlignment w:val="auto"/>
        <w:rPr>
          <w:highlight w:val="none"/>
        </w:rPr>
      </w:pPr>
      <w:r>
        <w:rPr>
          <w:sz w:val="21"/>
          <w:highlight w:val="none"/>
        </w:rPr>
        <mc:AlternateContent>
          <mc:Choice Requires="wps">
            <w:drawing>
              <wp:anchor distT="0" distB="0" distL="114300" distR="114300" simplePos="0" relativeHeight="251691008" behindDoc="0" locked="0" layoutInCell="1" allowOverlap="1">
                <wp:simplePos x="0" y="0"/>
                <wp:positionH relativeFrom="column">
                  <wp:posOffset>1080135</wp:posOffset>
                </wp:positionH>
                <wp:positionV relativeFrom="paragraph">
                  <wp:posOffset>774065</wp:posOffset>
                </wp:positionV>
                <wp:extent cx="2476500" cy="161925"/>
                <wp:effectExtent l="635" t="50165" r="18415" b="16510"/>
                <wp:wrapNone/>
                <wp:docPr id="140" name="直接箭头连接符 140"/>
                <wp:cNvGraphicFramePr/>
                <a:graphic xmlns:a="http://schemas.openxmlformats.org/drawingml/2006/main">
                  <a:graphicData uri="http://schemas.microsoft.com/office/word/2010/wordprocessingShape">
                    <wps:wsp>
                      <wps:cNvCnPr/>
                      <wps:spPr>
                        <a:xfrm flipV="1">
                          <a:off x="2105025" y="3911600"/>
                          <a:ext cx="2476500" cy="161925"/>
                        </a:xfrm>
                        <a:prstGeom prst="straightConnector1">
                          <a:avLst/>
                        </a:prstGeom>
                        <a:ln w="25400" cmpd="sng">
                          <a:solidFill>
                            <a:srgbClr val="FF0000"/>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5.05pt;margin-top:60.95pt;height:12.75pt;width:195pt;z-index:251691008;mso-width-relative:page;mso-height-relative:page;" filled="f" stroked="t" coordsize="21600,21600" o:gfxdata="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MZzG1QAAAAsBAAAPAAAAAAAAAAEAIAAAACIAAABkcnMvZG93&#10;bnJldi54bWxQSwECFAAUAAAACACHTuJAevc4fQMCAACwAwAADgAAAAAAAAABACAAAAAkAQAAZHJz&#10;L2Uyb0RvYy54bWxQSwUGAAAAAAYABgBZAQAAmQUAAAAA&#10;">
                <v:fill on="f" focussize="0,0"/>
                <v:stroke weight="2pt" color="#FF0000 [3204]" miterlimit="8" joinstyle="miter" endarrow="open"/>
                <v:imagedata o:title=""/>
                <o:lock v:ext="edit" aspectratio="f"/>
              </v:shape>
            </w:pict>
          </mc:Fallback>
        </mc:AlternateContent>
      </w:r>
      <w:r>
        <w:rPr>
          <w:rFonts w:hint="eastAsia"/>
          <w:highlight w:val="none"/>
          <w:lang w:val="en-US" w:eastAsia="zh-CN"/>
        </w:rPr>
        <w:t xml:space="preserve">   </w:t>
      </w:r>
      <w:r>
        <w:rPr>
          <w:highlight w:val="none"/>
        </w:rPr>
        <w:drawing>
          <wp:inline distT="0" distB="0" distL="114300" distR="114300">
            <wp:extent cx="2398395" cy="1712595"/>
            <wp:effectExtent l="0" t="0" r="1905" b="1905"/>
            <wp:docPr id="1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
                    <pic:cNvPicPr>
                      <a:picLocks noChangeAspect="1"/>
                    </pic:cNvPicPr>
                  </pic:nvPicPr>
                  <pic:blipFill>
                    <a:blip r:embed="rId8"/>
                    <a:stretch>
                      <a:fillRect/>
                    </a:stretch>
                  </pic:blipFill>
                  <pic:spPr>
                    <a:xfrm>
                      <a:off x="0" y="0"/>
                      <a:ext cx="2398395" cy="171259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2400300" cy="1720850"/>
            <wp:effectExtent l="0" t="0" r="0" b="12700"/>
            <wp:docPr id="1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
                    <pic:cNvPicPr>
                      <a:picLocks noChangeAspect="1"/>
                    </pic:cNvPicPr>
                  </pic:nvPicPr>
                  <pic:blipFill>
                    <a:blip r:embed="rId9"/>
                    <a:stretch>
                      <a:fillRect/>
                    </a:stretch>
                  </pic:blipFill>
                  <pic:spPr>
                    <a:xfrm>
                      <a:off x="0" y="0"/>
                      <a:ext cx="2400300" cy="1720850"/>
                    </a:xfrm>
                    <a:prstGeom prst="rect">
                      <a:avLst/>
                    </a:prstGeom>
                    <a:noFill/>
                    <a:ln>
                      <a:noFill/>
                    </a:ln>
                  </pic:spPr>
                </pic:pic>
              </a:graphicData>
            </a:graphic>
          </wp:inline>
        </w:drawing>
      </w:r>
    </w:p>
    <w:p>
      <w:pPr>
        <w:keepNext w:val="0"/>
        <w:keepLines w:val="0"/>
        <w:pageBreakBefore w:val="0"/>
        <w:widowControl w:val="0"/>
        <w:tabs>
          <w:tab w:val="left" w:pos="8610"/>
        </w:tabs>
        <w:kinsoku/>
        <w:wordWrap/>
        <w:overflowPunct/>
        <w:topLinePunct w:val="0"/>
        <w:autoSpaceDE/>
        <w:autoSpaceDN/>
        <w:bidi w:val="0"/>
        <w:adjustRightInd/>
        <w:snapToGrid/>
        <w:spacing w:line="360" w:lineRule="auto"/>
        <w:ind w:firstLine="480" w:firstLineChars="20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图</w:t>
      </w:r>
      <w:r>
        <w:rPr>
          <w:rFonts w:hint="eastAsia" w:ascii="宋体" w:hAnsi="宋体" w:cs="宋体"/>
          <w:sz w:val="24"/>
          <w:szCs w:val="24"/>
          <w:highlight w:val="none"/>
          <w:lang w:val="en-US" w:eastAsia="zh-CN"/>
        </w:rPr>
        <w:t>九</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4.15、新开挖建设的涉水池地下方如有的其他暗管、暗线等需全部绕道整改，以满足原有的需求。</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highlight w:val="none"/>
          <w:lang w:val="en-US" w:eastAsia="zh-CN"/>
        </w:rPr>
      </w:pPr>
      <w:r>
        <w:rPr>
          <w:rFonts w:hint="eastAsia" w:asciiTheme="minorEastAsia" w:hAnsiTheme="minorEastAsia" w:cstheme="minorEastAsia"/>
          <w:sz w:val="24"/>
          <w:highlight w:val="none"/>
          <w:lang w:val="en-US" w:eastAsia="zh-CN"/>
        </w:rPr>
        <w:t>4</w:t>
      </w:r>
      <w:r>
        <w:rPr>
          <w:rFonts w:hint="eastAsia" w:asciiTheme="minorEastAsia" w:hAnsiTheme="minorEastAsia" w:eastAsiaTheme="minorEastAsia" w:cstheme="minorEastAsia"/>
          <w:sz w:val="24"/>
          <w:highlight w:val="none"/>
          <w:lang w:val="en-US" w:eastAsia="zh-CN"/>
        </w:rPr>
        <w:t>.1</w:t>
      </w:r>
      <w:r>
        <w:rPr>
          <w:rFonts w:hint="eastAsia" w:asciiTheme="minorEastAsia" w:hAnsiTheme="minorEastAsia" w:cstheme="minorEastAsia"/>
          <w:sz w:val="24"/>
          <w:highlight w:val="none"/>
          <w:lang w:val="en-US" w:eastAsia="zh-CN"/>
        </w:rPr>
        <w:t>6</w:t>
      </w:r>
      <w:r>
        <w:rPr>
          <w:rFonts w:hint="eastAsia" w:asciiTheme="minorEastAsia" w:hAnsiTheme="minorEastAsia" w:eastAsiaTheme="minorEastAsia" w:cstheme="minorEastAsia"/>
          <w:sz w:val="24"/>
          <w:highlight w:val="none"/>
          <w:lang w:val="en-US" w:eastAsia="zh-CN"/>
        </w:rPr>
        <w:t>、</w:t>
      </w:r>
      <w:r>
        <w:rPr>
          <w:rFonts w:hint="eastAsia"/>
          <w:sz w:val="24"/>
          <w:highlight w:val="none"/>
          <w:lang w:val="en-US" w:eastAsia="zh-CN"/>
        </w:rPr>
        <w:t>在前后坡顶开沟（内宽40cm），两侧坡顶水池内侧两边靠墙开沟（内宽40cm）形成一个U型回路；当车行驶后涌浪自然流回到池内。在沟上安装格栅（SUS304材质）。</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、给水管采用暗管布置。</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eastAsia="zh-CN"/>
        </w:rPr>
        <w:t>、给水管、阀门均采用</w:t>
      </w:r>
      <w:r>
        <w:rPr>
          <w:rFonts w:hint="eastAsia" w:ascii="宋体" w:hAnsi="宋体" w:cs="宋体"/>
          <w:sz w:val="24"/>
          <w:szCs w:val="24"/>
          <w:highlight w:val="none"/>
          <w:lang w:val="en-US" w:eastAsia="zh-CN"/>
        </w:rPr>
        <w:t>RPVC</w:t>
      </w:r>
      <w:r>
        <w:rPr>
          <w:rFonts w:hint="eastAsia" w:ascii="宋体" w:hAnsi="宋体" w:eastAsia="宋体" w:cs="宋体"/>
          <w:sz w:val="24"/>
          <w:szCs w:val="24"/>
          <w:highlight w:val="none"/>
          <w:lang w:val="en-US" w:eastAsia="zh-CN"/>
        </w:rPr>
        <w:t>材质</w:t>
      </w:r>
      <w:r>
        <w:rPr>
          <w:rFonts w:hint="eastAsia" w:ascii="宋体" w:hAnsi="宋体" w:cs="宋体"/>
          <w:sz w:val="24"/>
          <w:szCs w:val="24"/>
          <w:highlight w:val="none"/>
          <w:lang w:val="en-US" w:eastAsia="zh-CN"/>
        </w:rPr>
        <w:t>（黑色）</w:t>
      </w:r>
      <w:r>
        <w:rPr>
          <w:rFonts w:hint="eastAsia" w:ascii="宋体" w:hAnsi="宋体" w:eastAsia="宋体" w:cs="宋体"/>
          <w:sz w:val="24"/>
          <w:szCs w:val="24"/>
          <w:highlight w:val="none"/>
          <w:lang w:val="en-US" w:eastAsia="zh-CN"/>
        </w:rPr>
        <w:t>。</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、水池内部地面、两侧墙体及前后斜坡涂刷防水层。</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4.20、涉水池应一体浇筑成型，以防止水泥层开裂渗水。</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cs="宋体"/>
          <w:sz w:val="24"/>
          <w:szCs w:val="24"/>
          <w:highlight w:val="none"/>
          <w:lang w:val="en-US" w:eastAsia="zh-CN"/>
        </w:rPr>
        <w:t>21</w:t>
      </w:r>
      <w:r>
        <w:rPr>
          <w:rFonts w:hint="eastAsia" w:ascii="宋体" w:hAnsi="宋体" w:eastAsia="宋体" w:cs="宋体"/>
          <w:sz w:val="24"/>
          <w:szCs w:val="24"/>
          <w:highlight w:val="none"/>
          <w:lang w:val="en-US" w:eastAsia="zh-CN"/>
        </w:rPr>
        <w:t>、涉水池完工后应作渗漏试验，将水池注满水静止24h，墙体和地面无渗水。</w:t>
      </w:r>
      <w:r>
        <w:rPr>
          <w:rFonts w:hint="eastAsia" w:ascii="宋体" w:hAnsi="宋体" w:cs="宋体"/>
          <w:sz w:val="24"/>
          <w:szCs w:val="24"/>
          <w:highlight w:val="none"/>
          <w:lang w:val="en-US" w:eastAsia="zh-CN"/>
        </w:rPr>
        <w:t>水池底部水平度误差不超过1CM。</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vertAlign w:val="baseline"/>
          <w:lang w:val="en-US" w:eastAsia="zh-CN"/>
        </w:rPr>
      </w:pPr>
      <w:r>
        <w:rPr>
          <w:rFonts w:hint="eastAsia" w:ascii="宋体" w:hAnsi="宋体" w:cs="宋体"/>
          <w:sz w:val="24"/>
          <w:szCs w:val="24"/>
          <w:highlight w:val="none"/>
          <w:lang w:val="en-US" w:eastAsia="zh-CN"/>
        </w:rPr>
        <w:t>4.22、</w:t>
      </w:r>
      <w:r>
        <w:rPr>
          <w:rFonts w:hint="eastAsia" w:ascii="宋体" w:hAnsi="宋体" w:eastAsia="宋体" w:cs="宋体"/>
          <w:sz w:val="24"/>
          <w:szCs w:val="24"/>
          <w:highlight w:val="none"/>
          <w:vertAlign w:val="baseline"/>
          <w:lang w:val="en-US" w:eastAsia="zh-CN"/>
        </w:rPr>
        <w:t>新砌排水沟、截水沟</w:t>
      </w:r>
      <w:r>
        <w:rPr>
          <w:rFonts w:hint="eastAsia" w:ascii="宋体" w:hAnsi="宋体" w:cs="宋体"/>
          <w:sz w:val="24"/>
          <w:szCs w:val="24"/>
          <w:highlight w:val="none"/>
          <w:vertAlign w:val="baseline"/>
          <w:lang w:val="en-US" w:eastAsia="zh-CN"/>
        </w:rPr>
        <w:t>同原有的标准和规格一致；并连接原有的排水沟、</w:t>
      </w:r>
      <w:r>
        <w:rPr>
          <w:rFonts w:hint="eastAsia" w:ascii="宋体" w:hAnsi="宋体" w:eastAsia="宋体" w:cs="宋体"/>
          <w:sz w:val="24"/>
          <w:szCs w:val="24"/>
          <w:highlight w:val="none"/>
          <w:vertAlign w:val="baseline"/>
          <w:lang w:val="en-US" w:eastAsia="zh-CN"/>
        </w:rPr>
        <w:t>截水沟</w:t>
      </w:r>
      <w:r>
        <w:rPr>
          <w:rFonts w:hint="eastAsia" w:ascii="宋体" w:hAnsi="宋体" w:cs="宋体"/>
          <w:sz w:val="24"/>
          <w:szCs w:val="24"/>
          <w:highlight w:val="none"/>
          <w:vertAlign w:val="baseline"/>
          <w:lang w:val="en-US" w:eastAsia="zh-CN"/>
        </w:rPr>
        <w:t>。</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eastAsia="zh-CN"/>
        </w:rPr>
      </w:pPr>
      <w:r>
        <w:rPr>
          <w:rFonts w:hint="eastAsia" w:ascii="宋体" w:hAnsi="宋体" w:cs="宋体"/>
          <w:sz w:val="24"/>
          <w:szCs w:val="24"/>
          <w:highlight w:val="none"/>
          <w:vertAlign w:val="baseline"/>
          <w:lang w:val="en-US" w:eastAsia="zh-CN"/>
        </w:rPr>
        <w:t>4.23、在出入口的位置各安装一块</w:t>
      </w:r>
      <w:r>
        <w:rPr>
          <w:rFonts w:ascii="宋体" w:hAnsi="宋体" w:eastAsia="宋体" w:cs="宋体"/>
          <w:sz w:val="24"/>
          <w:szCs w:val="24"/>
          <w:highlight w:val="none"/>
        </w:rPr>
        <w:t>提示路牌</w:t>
      </w:r>
      <w:r>
        <w:rPr>
          <w:rFonts w:hint="eastAsia" w:ascii="宋体" w:hAnsi="宋体" w:eastAsia="宋体" w:cs="宋体"/>
          <w:sz w:val="24"/>
          <w:szCs w:val="24"/>
          <w:highlight w:val="none"/>
          <w:lang w:eastAsia="zh-CN"/>
        </w:rPr>
        <w:t>并做防腐处理</w:t>
      </w:r>
      <w:r>
        <w:rPr>
          <w:rFonts w:hint="eastAsia" w:ascii="宋体" w:hAnsi="宋体" w:cs="宋体"/>
          <w:sz w:val="24"/>
          <w:szCs w:val="24"/>
          <w:highlight w:val="none"/>
          <w:lang w:eastAsia="zh-CN"/>
        </w:rPr>
        <w:t>。</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4.24、两处0.5米</w:t>
      </w:r>
      <w:r>
        <w:rPr>
          <w:rFonts w:hint="default" w:ascii="Arial" w:hAnsi="Arial" w:cs="Arial"/>
          <w:sz w:val="24"/>
          <w:szCs w:val="24"/>
          <w:highlight w:val="none"/>
          <w:lang w:val="en-US" w:eastAsia="zh-CN"/>
        </w:rPr>
        <w:t>×</w:t>
      </w:r>
      <w:r>
        <w:rPr>
          <w:rFonts w:hint="eastAsia" w:ascii="宋体" w:hAnsi="宋体" w:cs="宋体"/>
          <w:sz w:val="24"/>
          <w:szCs w:val="24"/>
          <w:highlight w:val="none"/>
          <w:lang w:val="en-US" w:eastAsia="zh-CN"/>
        </w:rPr>
        <w:t>1米沉淀池顶部增加不锈钢格栅板，上部再放置一块镀锌板防晒。</w:t>
      </w:r>
    </w:p>
    <w:p>
      <w:pPr>
        <w:keepNext w:val="0"/>
        <w:keepLines w:val="0"/>
        <w:pageBreakBefore w:val="0"/>
        <w:widowControl w:val="0"/>
        <w:numPr>
          <w:ilvl w:val="0"/>
          <w:numId w:val="0"/>
        </w:numPr>
        <w:tabs>
          <w:tab w:val="left" w:pos="861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cs="宋体"/>
          <w:sz w:val="24"/>
          <w:szCs w:val="24"/>
          <w:highlight w:val="none"/>
          <w:lang w:val="en-US" w:eastAsia="zh-CN"/>
        </w:rPr>
        <w:t>25</w:t>
      </w:r>
      <w:r>
        <w:rPr>
          <w:rFonts w:hint="eastAsia" w:ascii="宋体" w:hAnsi="宋体" w:eastAsia="宋体" w:cs="宋体"/>
          <w:sz w:val="24"/>
          <w:szCs w:val="24"/>
          <w:highlight w:val="none"/>
          <w:lang w:val="en-US" w:eastAsia="zh-CN"/>
        </w:rPr>
        <w:t>、其余未写明的地方应满足法规要求。</w:t>
      </w:r>
    </w:p>
    <w:p>
      <w:pPr>
        <w:keepNext w:val="0"/>
        <w:keepLines w:val="0"/>
        <w:pageBreakBefore w:val="0"/>
        <w:kinsoku/>
        <w:wordWrap/>
        <w:overflowPunct/>
        <w:topLinePunct w:val="0"/>
        <w:bidi w:val="0"/>
        <w:spacing w:line="348" w:lineRule="auto"/>
        <w:ind w:firstLine="480" w:firstLineChars="200"/>
        <w:textAlignment w:val="auto"/>
        <w:rPr>
          <w:rFonts w:hint="eastAsia" w:ascii="宋体" w:hAnsi="宋体"/>
          <w:sz w:val="24"/>
          <w:highlight w:val="none"/>
        </w:rPr>
      </w:pPr>
      <w:r>
        <w:rPr>
          <w:rFonts w:hint="eastAsia" w:ascii="宋体" w:hAnsi="宋体"/>
          <w:sz w:val="24"/>
          <w:highlight w:val="none"/>
          <w:lang w:val="en-US" w:eastAsia="zh-CN"/>
        </w:rPr>
        <w:t>4.26、</w:t>
      </w:r>
      <w:r>
        <w:rPr>
          <w:rFonts w:hint="eastAsia" w:ascii="宋体" w:hAnsi="宋体"/>
          <w:sz w:val="24"/>
          <w:highlight w:val="none"/>
        </w:rPr>
        <w:t>本工程严禁分包及转包。如有需要必须事先经甲方确认，否则全部责任由乙方承担。</w:t>
      </w:r>
    </w:p>
    <w:p>
      <w:pPr>
        <w:keepNext w:val="0"/>
        <w:keepLines w:val="0"/>
        <w:pageBreakBefore w:val="0"/>
        <w:kinsoku/>
        <w:wordWrap/>
        <w:overflowPunct/>
        <w:topLinePunct w:val="0"/>
        <w:bidi w:val="0"/>
        <w:spacing w:line="348" w:lineRule="auto"/>
        <w:ind w:firstLine="480" w:firstLineChars="200"/>
        <w:textAlignment w:val="auto"/>
        <w:rPr>
          <w:rFonts w:hint="eastAsia" w:ascii="宋体" w:hAnsi="宋体"/>
          <w:sz w:val="24"/>
          <w:highlight w:val="none"/>
          <w:lang w:val="en-US" w:eastAsia="zh-CN"/>
        </w:rPr>
      </w:pPr>
      <w:r>
        <w:rPr>
          <w:rFonts w:hint="eastAsia" w:ascii="宋体" w:hAnsi="宋体" w:eastAsia="宋体" w:cs="宋体"/>
          <w:sz w:val="24"/>
          <w:highlight w:val="none"/>
          <w:lang w:val="en-US" w:eastAsia="zh-CN"/>
        </w:rPr>
        <w:t>★</w:t>
      </w:r>
      <w:r>
        <w:rPr>
          <w:rFonts w:hint="eastAsia" w:ascii="宋体" w:hAnsi="宋体"/>
          <w:sz w:val="24"/>
          <w:highlight w:val="none"/>
          <w:lang w:val="en-US" w:eastAsia="zh-CN"/>
        </w:rPr>
        <w:t>4.27、乙方须有相关工程经验，投标时需提供近两年的相关合同业绩证明（不少于两项）。</w:t>
      </w:r>
    </w:p>
    <w:p>
      <w:pPr>
        <w:keepNext w:val="0"/>
        <w:keepLines w:val="0"/>
        <w:pageBreakBefore w:val="0"/>
        <w:kinsoku/>
        <w:wordWrap/>
        <w:overflowPunct/>
        <w:topLinePunct w:val="0"/>
        <w:bidi w:val="0"/>
        <w:spacing w:line="348" w:lineRule="auto"/>
        <w:ind w:firstLine="480" w:firstLineChars="200"/>
        <w:textAlignment w:val="auto"/>
        <w:rPr>
          <w:rFonts w:hint="eastAsia" w:asciiTheme="minorEastAsia" w:hAnsiTheme="minorEastAsia" w:cstheme="minorEastAsia"/>
          <w:sz w:val="24"/>
          <w:highlight w:val="none"/>
          <w:lang w:val="en-US" w:eastAsia="zh-CN"/>
        </w:rPr>
      </w:pPr>
      <w:r>
        <w:rPr>
          <w:rFonts w:hint="eastAsia" w:ascii="宋体" w:hAnsi="宋体" w:eastAsia="宋体" w:cs="宋体"/>
          <w:sz w:val="24"/>
          <w:highlight w:val="none"/>
          <w:lang w:val="en-US" w:eastAsia="zh-CN"/>
        </w:rPr>
        <w:t>★</w:t>
      </w:r>
      <w:r>
        <w:rPr>
          <w:rFonts w:hint="eastAsia" w:ascii="宋体" w:hAnsi="宋体"/>
          <w:sz w:val="24"/>
          <w:highlight w:val="none"/>
          <w:lang w:val="en-US" w:eastAsia="zh-CN"/>
        </w:rPr>
        <w:t>4.28、</w:t>
      </w:r>
      <w:r>
        <w:rPr>
          <w:rFonts w:hint="eastAsia"/>
          <w:sz w:val="24"/>
          <w:highlight w:val="none"/>
          <w:lang w:val="en-US" w:eastAsia="zh-CN"/>
        </w:rPr>
        <w:t>乙</w:t>
      </w:r>
      <w:r>
        <w:rPr>
          <w:rFonts w:hint="eastAsia" w:asciiTheme="minorEastAsia" w:hAnsiTheme="minorEastAsia" w:eastAsiaTheme="minorEastAsia" w:cstheme="minorEastAsia"/>
          <w:sz w:val="24"/>
          <w:highlight w:val="none"/>
          <w:lang w:val="en-US" w:eastAsia="zh-CN"/>
        </w:rPr>
        <w:t>方</w:t>
      </w:r>
      <w:r>
        <w:rPr>
          <w:rFonts w:hint="eastAsia" w:asciiTheme="minorEastAsia" w:hAnsiTheme="minorEastAsia" w:cstheme="minorEastAsia"/>
          <w:sz w:val="24"/>
          <w:highlight w:val="none"/>
          <w:lang w:val="en-US" w:eastAsia="zh-CN"/>
        </w:rPr>
        <w:t>在标书中需列出本次建造的各项报价清单。</w:t>
      </w:r>
    </w:p>
    <w:p>
      <w:pPr>
        <w:keepNext w:val="0"/>
        <w:keepLines w:val="0"/>
        <w:pageBreakBefore w:val="0"/>
        <w:kinsoku/>
        <w:wordWrap/>
        <w:overflowPunct/>
        <w:topLinePunct w:val="0"/>
        <w:bidi w:val="0"/>
        <w:spacing w:line="348" w:lineRule="auto"/>
        <w:ind w:firstLine="480" w:firstLineChars="200"/>
        <w:textAlignment w:val="auto"/>
        <w:rPr>
          <w:rFonts w:hint="eastAsia" w:ascii="宋体" w:hAnsi="宋体"/>
          <w:sz w:val="24"/>
          <w:highlight w:val="none"/>
          <w:lang w:val="en-US" w:eastAsia="zh-CN"/>
        </w:rPr>
      </w:pPr>
      <w:r>
        <w:rPr>
          <w:rFonts w:hint="eastAsia" w:ascii="宋体" w:hAnsi="宋体"/>
          <w:sz w:val="24"/>
          <w:highlight w:val="none"/>
          <w:lang w:val="en-US" w:eastAsia="zh-CN"/>
        </w:rPr>
        <w:t>4.29、其他未明确改造内容，根据项目改造需要由乙方配合改造。</w:t>
      </w:r>
    </w:p>
    <w:p>
      <w:pPr>
        <w:keepNext w:val="0"/>
        <w:keepLines w:val="0"/>
        <w:pageBreakBefore w:val="0"/>
        <w:numPr>
          <w:ilvl w:val="0"/>
          <w:numId w:val="0"/>
        </w:numPr>
        <w:kinsoku/>
        <w:wordWrap/>
        <w:overflowPunct/>
        <w:topLinePunct w:val="0"/>
        <w:bidi w:val="0"/>
        <w:spacing w:line="348" w:lineRule="auto"/>
        <w:ind w:leftChars="0"/>
        <w:textAlignment w:val="auto"/>
        <w:rPr>
          <w:rFonts w:hint="eastAsia" w:ascii="黑体" w:hAnsi="黑体" w:eastAsia="黑体" w:cs="黑体"/>
          <w:b w:val="0"/>
          <w:bCs/>
          <w:sz w:val="32"/>
          <w:szCs w:val="32"/>
          <w:highlight w:val="none"/>
          <w:lang w:val="en-US" w:eastAsia="zh-CN"/>
        </w:rPr>
      </w:pPr>
      <w:bookmarkStart w:id="19" w:name="_Toc31576_WPSOffice_Level1"/>
      <w:bookmarkStart w:id="20" w:name="_Toc30277_WPSOffice_Level1"/>
      <w:r>
        <w:rPr>
          <w:rFonts w:hint="eastAsia" w:ascii="黑体" w:hAnsi="黑体" w:eastAsia="黑体" w:cs="黑体"/>
          <w:b w:val="0"/>
          <w:bCs/>
          <w:sz w:val="32"/>
          <w:szCs w:val="32"/>
          <w:highlight w:val="none"/>
          <w:lang w:val="en-US" w:eastAsia="zh-CN"/>
        </w:rPr>
        <w:t>五、验收</w:t>
      </w:r>
      <w:bookmarkEnd w:id="19"/>
      <w:bookmarkEnd w:id="20"/>
    </w:p>
    <w:p>
      <w:pPr>
        <w:keepNext w:val="0"/>
        <w:keepLines w:val="0"/>
        <w:pageBreakBefore w:val="0"/>
        <w:kinsoku/>
        <w:wordWrap/>
        <w:overflowPunct/>
        <w:topLinePunct w:val="0"/>
        <w:bidi w:val="0"/>
        <w:spacing w:line="348" w:lineRule="auto"/>
        <w:ind w:firstLine="480" w:firstLineChars="200"/>
        <w:textAlignment w:val="auto"/>
        <w:rPr>
          <w:rFonts w:hint="default" w:asciiTheme="minorEastAsia" w:hAnsi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5.</w:t>
      </w:r>
      <w:r>
        <w:rPr>
          <w:rFonts w:hint="default" w:asciiTheme="minorEastAsia" w:hAnsiTheme="minorEastAsia" w:cstheme="minorEastAsia"/>
          <w:sz w:val="24"/>
          <w:highlight w:val="none"/>
          <w:lang w:val="en-US" w:eastAsia="zh-CN"/>
        </w:rPr>
        <w:t>1、本工程质量标准，必须按照本技术协议中的相关要求执行。</w:t>
      </w:r>
    </w:p>
    <w:p>
      <w:pPr>
        <w:keepNext w:val="0"/>
        <w:keepLines w:val="0"/>
        <w:pageBreakBefore w:val="0"/>
        <w:kinsoku/>
        <w:wordWrap/>
        <w:overflowPunct/>
        <w:topLinePunct w:val="0"/>
        <w:bidi w:val="0"/>
        <w:spacing w:line="348" w:lineRule="auto"/>
        <w:ind w:firstLine="480" w:firstLineChars="200"/>
        <w:textAlignment w:val="auto"/>
        <w:rPr>
          <w:rFonts w:hint="default" w:asciiTheme="minorEastAsia" w:hAnsi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5.</w:t>
      </w:r>
      <w:r>
        <w:rPr>
          <w:rFonts w:hint="default" w:asciiTheme="minorEastAsia" w:hAnsiTheme="minorEastAsia" w:cstheme="minorEastAsia"/>
          <w:sz w:val="24"/>
          <w:highlight w:val="none"/>
          <w:lang w:val="en-US" w:eastAsia="zh-CN"/>
        </w:rPr>
        <w:t>2、因乙方原因，工程质量达不到规定的质量标准，乙方必须按合同约定，承担违约金和承担甲方由此产生的其他损失，并在甲方要求的时间内无条件返修，质量验收合格后，方交付使用。</w:t>
      </w:r>
    </w:p>
    <w:p>
      <w:pPr>
        <w:keepNext w:val="0"/>
        <w:keepLines w:val="0"/>
        <w:pageBreakBefore w:val="0"/>
        <w:kinsoku/>
        <w:wordWrap/>
        <w:overflowPunct/>
        <w:topLinePunct w:val="0"/>
        <w:bidi w:val="0"/>
        <w:spacing w:line="348" w:lineRule="auto"/>
        <w:ind w:firstLine="480" w:firstLineChars="200"/>
        <w:textAlignment w:val="auto"/>
        <w:rPr>
          <w:rFonts w:hint="default" w:asciiTheme="minorEastAsia" w:hAnsi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5.</w:t>
      </w:r>
      <w:r>
        <w:rPr>
          <w:rFonts w:hint="default" w:asciiTheme="minorEastAsia" w:hAnsiTheme="minorEastAsia" w:cstheme="minorEastAsia"/>
          <w:sz w:val="24"/>
          <w:highlight w:val="none"/>
          <w:lang w:val="en-US" w:eastAsia="zh-CN"/>
        </w:rPr>
        <w:t>3、乙方到现场进行踏勘，充分了解工地位置、情况、道路、储存空间、装卸限制及任何其它足以影响工程质量的情况，任何因忽视或误解工地情况而导致的索赔或工期延长申请将不获批准。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4"/>
          <w:highlight w:val="none"/>
          <w:lang w:val="en-US" w:eastAsia="zh-CN"/>
        </w:rPr>
      </w:pPr>
      <w:r>
        <w:rPr>
          <w:rFonts w:hint="eastAsia"/>
          <w:lang w:val="en-US" w:eastAsia="zh-CN"/>
        </w:rPr>
        <w:t>5.4、</w:t>
      </w:r>
      <w:r>
        <w:rPr>
          <w:rFonts w:hint="eastAsia" w:ascii="宋体" w:hAnsi="宋体"/>
          <w:sz w:val="24"/>
          <w:highlight w:val="none"/>
          <w:lang w:val="en-US" w:eastAsia="zh-CN"/>
        </w:rPr>
        <w:t>验收在甲方现场进行，调试成功并经我司技术人员确认后进行验收。验收程序：来件预验收→安装调试完成→试生产一个月→初验收→生产6个月而且设备正常运转→终验收→质保期壹年。</w:t>
      </w:r>
    </w:p>
    <w:p>
      <w:pPr>
        <w:keepNext w:val="0"/>
        <w:keepLines w:val="0"/>
        <w:pageBreakBefore w:val="0"/>
        <w:numPr>
          <w:ilvl w:val="0"/>
          <w:numId w:val="0"/>
        </w:numPr>
        <w:kinsoku/>
        <w:wordWrap/>
        <w:overflowPunct/>
        <w:topLinePunct w:val="0"/>
        <w:bidi w:val="0"/>
        <w:spacing w:line="348" w:lineRule="auto"/>
        <w:ind w:leftChars="0"/>
        <w:textAlignment w:val="auto"/>
        <w:rPr>
          <w:rFonts w:hint="eastAsia" w:ascii="黑体" w:hAnsi="黑体" w:eastAsia="黑体" w:cs="黑体"/>
          <w:b w:val="0"/>
          <w:bCs/>
          <w:sz w:val="32"/>
          <w:szCs w:val="32"/>
          <w:highlight w:val="none"/>
          <w:lang w:val="en-US" w:eastAsia="zh-CN"/>
        </w:rPr>
      </w:pPr>
      <w:bookmarkStart w:id="21" w:name="_Toc26977_WPSOffice_Level1"/>
      <w:bookmarkStart w:id="22" w:name="_Toc6030_WPSOffice_Level1"/>
      <w:r>
        <w:rPr>
          <w:rFonts w:hint="eastAsia" w:ascii="黑体" w:hAnsi="黑体" w:eastAsia="黑体" w:cs="黑体"/>
          <w:b w:val="0"/>
          <w:bCs/>
          <w:sz w:val="32"/>
          <w:szCs w:val="32"/>
          <w:highlight w:val="none"/>
          <w:lang w:val="en-US" w:eastAsia="zh-CN"/>
        </w:rPr>
        <w:t>六、质保、售后服务</w:t>
      </w:r>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highlight w:val="none"/>
          <w:lang w:val="en-US" w:eastAsia="zh-CN"/>
        </w:rPr>
      </w:pPr>
      <w:r>
        <w:rPr>
          <w:rFonts w:hint="eastAsia" w:ascii="宋体" w:hAnsi="宋体"/>
          <w:sz w:val="24"/>
          <w:highlight w:val="none"/>
          <w:lang w:val="en-US" w:eastAsia="zh-CN"/>
        </w:rPr>
        <w:t>6.1质保期为壹年，自终验收合格报告签字日期开始计算。在设备质保期到期前乙方须委派技术售后工程师与甲方设备技术人员联系，确认到厂服务时间，到厂对供货设备进行一次深入的检修、维保和指导。时长应不少于2个工作日。在设备的质保期内，乙方对设备出现的各类故障应及时免费提供维修服务，对非人为造成的各类零件的损坏，乙方需免费更换。当设备发生重大故障时，在非人为原因造成的故障解决以后保修期应适当延长，具体时间由双方协商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highlight w:val="none"/>
          <w:lang w:val="en-US" w:eastAsia="zh-CN"/>
        </w:rPr>
      </w:pPr>
      <w:r>
        <w:rPr>
          <w:rFonts w:hint="eastAsia" w:ascii="宋体" w:hAnsi="宋体"/>
          <w:sz w:val="24"/>
          <w:highlight w:val="none"/>
          <w:lang w:val="en-US" w:eastAsia="zh-CN"/>
        </w:rPr>
        <w:t>6.2在质保期内，乙方需及时响应甲方的维修要求，提供24小时电话服务，并于24小时内派出相关服务人员到甲方使用现场。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sz w:val="24"/>
          <w:highlight w:val="none"/>
          <w:lang w:val="en-US" w:eastAsia="zh-CN"/>
        </w:rPr>
        <w:t>6.3质保期过后，如发现乙方所提供的设备存在问题，需要乙方配合解决时，乙方应在24小时内作出响应并应确保维修备件的供应，并在48小时之内提供技术援助。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3B3FA4"/>
    <w:rsid w:val="0C7915A5"/>
    <w:rsid w:val="0E33029C"/>
    <w:rsid w:val="17811590"/>
    <w:rsid w:val="25006C03"/>
    <w:rsid w:val="25631579"/>
    <w:rsid w:val="35B97685"/>
    <w:rsid w:val="36BD7418"/>
    <w:rsid w:val="39124422"/>
    <w:rsid w:val="3E9E16F1"/>
    <w:rsid w:val="413910FF"/>
    <w:rsid w:val="43E84A56"/>
    <w:rsid w:val="4474706C"/>
    <w:rsid w:val="4E5236A7"/>
    <w:rsid w:val="52C57097"/>
    <w:rsid w:val="583B3FA4"/>
    <w:rsid w:val="5A33480D"/>
    <w:rsid w:val="5A660610"/>
    <w:rsid w:val="5DDA0352"/>
    <w:rsid w:val="624D01B9"/>
    <w:rsid w:val="64650262"/>
    <w:rsid w:val="69F34BE9"/>
    <w:rsid w:val="6A563E24"/>
    <w:rsid w:val="6A8A112D"/>
    <w:rsid w:val="6BDB2271"/>
    <w:rsid w:val="70D71D82"/>
    <w:rsid w:val="77354736"/>
    <w:rsid w:val="7A7A4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customStyle="1" w:styleId="2">
    <w:name w:val="表格文字"/>
    <w:basedOn w:val="1"/>
    <w:qFormat/>
    <w:uiPriority w:val="0"/>
    <w:pPr>
      <w:spacing w:line="240" w:lineRule="auto"/>
      <w:ind w:firstLine="0" w:firstLineChars="0"/>
      <w:jc w:val="center"/>
    </w:pPr>
    <w:rPr>
      <w:rFonts w:ascii="Times New Roman" w:hAnsi="Times New Roman" w:eastAsia="宋体"/>
    </w:r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glossaryDocument" Target="glossary/document.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3d8eb9c-cdb3-42ea-ac68-32726046cf46}"/>
        <w:style w:val=""/>
        <w:category>
          <w:name w:val="常规"/>
          <w:gallery w:val="placeholder"/>
        </w:category>
        <w:types>
          <w:type w:val="bbPlcHdr"/>
        </w:types>
        <w:behaviors>
          <w:behavior w:val="content"/>
        </w:behaviors>
        <w:description w:val=""/>
        <w:guid w:val="{93d8eb9c-cdb3-42ea-ac68-32726046cf46}"/>
      </w:docPartPr>
      <w:docPartBody>
        <w:p>
          <w:r>
            <w:rPr>
              <w:color w:val="808080"/>
            </w:rPr>
            <w:t>单击此处输入文字。</w:t>
          </w:r>
        </w:p>
      </w:docPartBody>
    </w:docPart>
    <w:docPart>
      <w:docPartPr>
        <w:name w:val="{8ebc9e34-5af7-4972-839e-fd1fee1771b6}"/>
        <w:style w:val=""/>
        <w:category>
          <w:name w:val="常规"/>
          <w:gallery w:val="placeholder"/>
        </w:category>
        <w:types>
          <w:type w:val="bbPlcHdr"/>
        </w:types>
        <w:behaviors>
          <w:behavior w:val="content"/>
        </w:behaviors>
        <w:description w:val=""/>
        <w:guid w:val="{8ebc9e34-5af7-4972-839e-fd1fee1771b6}"/>
      </w:docPartPr>
      <w:docPartBody>
        <w:p>
          <w:r>
            <w:rPr>
              <w:color w:val="808080"/>
            </w:rPr>
            <w:t>单击此处输入文字。</w:t>
          </w:r>
        </w:p>
      </w:docPartBody>
    </w:docPart>
    <w:docPart>
      <w:docPartPr>
        <w:name w:val="{3abdb8af-3d1c-44f0-9f67-1809159c1714}"/>
        <w:style w:val=""/>
        <w:category>
          <w:name w:val="常规"/>
          <w:gallery w:val="placeholder"/>
        </w:category>
        <w:types>
          <w:type w:val="bbPlcHdr"/>
        </w:types>
        <w:behaviors>
          <w:behavior w:val="content"/>
        </w:behaviors>
        <w:description w:val=""/>
        <w:guid w:val="{3abdb8af-3d1c-44f0-9f67-1809159c1714}"/>
      </w:docPartPr>
      <w:docPartBody>
        <w:p>
          <w:r>
            <w:rPr>
              <w:color w:val="808080"/>
            </w:rPr>
            <w:t>单击此处输入文字。</w:t>
          </w:r>
        </w:p>
      </w:docPartBody>
    </w:docPart>
    <w:docPart>
      <w:docPartPr>
        <w:name w:val="{c267f63b-c093-42da-9525-d99490d3d1e3}"/>
        <w:style w:val=""/>
        <w:category>
          <w:name w:val="常规"/>
          <w:gallery w:val="placeholder"/>
        </w:category>
        <w:types>
          <w:type w:val="bbPlcHdr"/>
        </w:types>
        <w:behaviors>
          <w:behavior w:val="content"/>
        </w:behaviors>
        <w:description w:val=""/>
        <w:guid w:val="{c267f63b-c093-42da-9525-d99490d3d1e3}"/>
      </w:docPartPr>
      <w:docPartBody>
        <w:p>
          <w:r>
            <w:rPr>
              <w:color w:val="808080"/>
            </w:rPr>
            <w:t>单击此处输入文字。</w:t>
          </w:r>
        </w:p>
      </w:docPartBody>
    </w:docPart>
    <w:docPart>
      <w:docPartPr>
        <w:name w:val="{557f5e6d-e431-4adb-95d9-7e20d13f8144}"/>
        <w:style w:val=""/>
        <w:category>
          <w:name w:val="常规"/>
          <w:gallery w:val="placeholder"/>
        </w:category>
        <w:types>
          <w:type w:val="bbPlcHdr"/>
        </w:types>
        <w:behaviors>
          <w:behavior w:val="content"/>
        </w:behaviors>
        <w:description w:val=""/>
        <w:guid w:val="{557f5e6d-e431-4adb-95d9-7e20d13f8144}"/>
      </w:docPartPr>
      <w:docPartBody>
        <w:p>
          <w:r>
            <w:rPr>
              <w:color w:val="808080"/>
            </w:rPr>
            <w:t>单击此处输入文字。</w:t>
          </w:r>
        </w:p>
      </w:docPartBody>
    </w:docPart>
    <w:docPart>
      <w:docPartPr>
        <w:name w:val="{4f6c3906-25e6-443e-96d4-8c544050e351}"/>
        <w:style w:val=""/>
        <w:category>
          <w:name w:val="常规"/>
          <w:gallery w:val="placeholder"/>
        </w:category>
        <w:types>
          <w:type w:val="bbPlcHdr"/>
        </w:types>
        <w:behaviors>
          <w:behavior w:val="content"/>
        </w:behaviors>
        <w:description w:val=""/>
        <w:guid w:val="{4f6c3906-25e6-443e-96d4-8c544050e35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487</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2024-11-05T05:49:00Z</dcterms:created>
  <dc:creator>yiwf</dc:creator>
  <cp:lastModifiedBy>yiwf</cp:lastModifiedBy>
  <dcterms:modified xsi:type="dcterms:W3CDTF">2024-11-12T07:38:17Z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